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sz w:val="56"/>
          <w:szCs w:val="56"/>
        </w:rPr>
      </w:pPr>
    </w:p>
    <w:p>
      <w:pPr>
        <w:pStyle w:val="4"/>
        <w:jc w:val="center"/>
        <w:rPr>
          <w:sz w:val="56"/>
          <w:szCs w:val="56"/>
        </w:rPr>
      </w:pPr>
    </w:p>
    <w:p>
      <w:pPr>
        <w:pStyle w:val="4"/>
        <w:jc w:val="center"/>
        <w:rPr>
          <w:sz w:val="84"/>
          <w:szCs w:val="84"/>
        </w:rPr>
      </w:pPr>
    </w:p>
    <w:p>
      <w:pPr>
        <w:pStyle w:val="4"/>
        <w:jc w:val="center"/>
        <w:rPr>
          <w:sz w:val="84"/>
          <w:szCs w:val="84"/>
        </w:rPr>
      </w:pPr>
    </w:p>
    <w:p>
      <w:pPr>
        <w:pStyle w:val="4"/>
        <w:jc w:val="center"/>
        <w:rPr>
          <w:sz w:val="72"/>
          <w:szCs w:val="72"/>
        </w:rPr>
      </w:pPr>
      <w:bookmarkStart w:id="1" w:name="_GoBack"/>
      <w:r>
        <w:rPr>
          <w:rFonts w:hint="eastAsia"/>
          <w:sz w:val="72"/>
          <w:szCs w:val="72"/>
        </w:rPr>
        <w:t>2019年度</w:t>
      </w:r>
    </w:p>
    <w:p>
      <w:pPr>
        <w:pStyle w:val="4"/>
        <w:jc w:val="center"/>
        <w:rPr>
          <w:rFonts w:hint="eastAsia"/>
          <w:sz w:val="72"/>
          <w:szCs w:val="72"/>
          <w:lang w:val="en-US" w:eastAsia="zh-CN"/>
        </w:rPr>
      </w:pPr>
      <w:r>
        <w:rPr>
          <w:rFonts w:hint="eastAsia"/>
          <w:sz w:val="72"/>
          <w:szCs w:val="72"/>
          <w:lang w:val="en-US" w:eastAsia="zh-CN"/>
        </w:rPr>
        <w:t xml:space="preserve">湖南安全技术职业学院 </w:t>
      </w:r>
    </w:p>
    <w:p>
      <w:pPr>
        <w:pStyle w:val="4"/>
        <w:jc w:val="center"/>
        <w:rPr>
          <w:sz w:val="72"/>
          <w:szCs w:val="72"/>
        </w:rPr>
      </w:pPr>
      <w:r>
        <w:rPr>
          <w:rFonts w:hint="eastAsia"/>
          <w:sz w:val="72"/>
          <w:szCs w:val="72"/>
        </w:rPr>
        <w:t>部门决算</w:t>
      </w:r>
      <w:bookmarkEnd w:id="1"/>
    </w:p>
    <w:p>
      <w:pPr>
        <w:pStyle w:val="4"/>
        <w:jc w:val="center"/>
        <w:rPr>
          <w:sz w:val="56"/>
          <w:szCs w:val="56"/>
        </w:rPr>
      </w:pPr>
    </w:p>
    <w:p>
      <w:pPr>
        <w:pStyle w:val="4"/>
        <w:jc w:val="center"/>
        <w:rPr>
          <w:sz w:val="56"/>
          <w:szCs w:val="56"/>
        </w:rPr>
      </w:pPr>
    </w:p>
    <w:p>
      <w:pPr>
        <w:pStyle w:val="4"/>
        <w:jc w:val="center"/>
        <w:rPr>
          <w:sz w:val="56"/>
          <w:szCs w:val="56"/>
        </w:rPr>
      </w:pPr>
    </w:p>
    <w:p>
      <w:pPr>
        <w:pStyle w:val="4"/>
        <w:jc w:val="center"/>
        <w:rPr>
          <w:sz w:val="56"/>
          <w:szCs w:val="56"/>
        </w:rPr>
      </w:pPr>
    </w:p>
    <w:p>
      <w:pPr>
        <w:pStyle w:val="4"/>
        <w:jc w:val="center"/>
        <w:rPr>
          <w:sz w:val="56"/>
          <w:szCs w:val="56"/>
        </w:rPr>
      </w:pPr>
    </w:p>
    <w:p>
      <w:pPr>
        <w:pStyle w:val="4"/>
        <w:jc w:val="center"/>
        <w:rPr>
          <w:sz w:val="56"/>
          <w:szCs w:val="56"/>
        </w:rPr>
      </w:pPr>
    </w:p>
    <w:p>
      <w:pPr>
        <w:pStyle w:val="4"/>
        <w:jc w:val="center"/>
        <w:rPr>
          <w:sz w:val="56"/>
          <w:szCs w:val="56"/>
        </w:rPr>
      </w:pPr>
    </w:p>
    <w:p>
      <w:pPr>
        <w:pStyle w:val="4"/>
        <w:spacing w:line="520" w:lineRule="exact"/>
        <w:jc w:val="center"/>
        <w:rPr>
          <w:sz w:val="56"/>
          <w:szCs w:val="56"/>
        </w:rPr>
      </w:pPr>
      <w:r>
        <w:rPr>
          <w:rFonts w:hint="eastAsia"/>
          <w:sz w:val="56"/>
          <w:szCs w:val="56"/>
        </w:rPr>
        <w:t>目录</w:t>
      </w:r>
    </w:p>
    <w:p>
      <w:pPr>
        <w:pStyle w:val="4"/>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湖南安全技术职业学院单位</w:t>
      </w:r>
      <w:r>
        <w:rPr>
          <w:rFonts w:hint="eastAsia"/>
          <w:b/>
          <w:sz w:val="28"/>
          <w:szCs w:val="28"/>
        </w:rPr>
        <w:t>概况</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4"/>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4"/>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sz w:val="72"/>
          <w:szCs w:val="72"/>
        </w:rPr>
      </w:pPr>
      <w:r>
        <w:rPr>
          <w:rFonts w:ascii="黑体" w:hAnsi="黑体" w:eastAsia="黑体" w:cs="黑体"/>
          <w:b/>
          <w:color w:val="000000"/>
          <w:kern w:val="0"/>
          <w:sz w:val="28"/>
          <w:szCs w:val="28"/>
        </w:rPr>
        <w:t>第五部分附件</w:t>
      </w:r>
    </w:p>
    <w:p>
      <w:pPr>
        <w:rPr>
          <w:sz w:val="72"/>
          <w:szCs w:val="72"/>
        </w:rPr>
      </w:pPr>
    </w:p>
    <w:p>
      <w:pPr>
        <w:rPr>
          <w:sz w:val="72"/>
          <w:szCs w:val="72"/>
        </w:rPr>
      </w:pPr>
    </w:p>
    <w:p>
      <w:pPr>
        <w:rPr>
          <w:sz w:val="72"/>
          <w:szCs w:val="72"/>
        </w:rPr>
      </w:pPr>
    </w:p>
    <w:p>
      <w:pPr>
        <w:rPr>
          <w:sz w:val="72"/>
          <w:szCs w:val="72"/>
        </w:rPr>
      </w:pPr>
    </w:p>
    <w:p>
      <w:pPr>
        <w:jc w:val="center"/>
        <w:rPr>
          <w:rFonts w:hint="eastAsia"/>
          <w:sz w:val="72"/>
          <w:szCs w:val="72"/>
        </w:rPr>
      </w:pPr>
      <w:r>
        <w:rPr>
          <w:rFonts w:hint="eastAsia"/>
          <w:sz w:val="72"/>
          <w:szCs w:val="72"/>
        </w:rPr>
        <w:t xml:space="preserve">第一部分 </w:t>
      </w:r>
    </w:p>
    <w:p>
      <w:pPr>
        <w:jc w:val="center"/>
        <w:rPr>
          <w:rFonts w:hint="eastAsia"/>
          <w:sz w:val="72"/>
          <w:szCs w:val="72"/>
        </w:rPr>
      </w:pPr>
    </w:p>
    <w:p>
      <w:pPr>
        <w:jc w:val="center"/>
        <w:rPr>
          <w:rFonts w:hint="eastAsia"/>
          <w:sz w:val="72"/>
          <w:szCs w:val="72"/>
          <w:lang w:val="en-US" w:eastAsia="zh-CN"/>
        </w:rPr>
      </w:pPr>
      <w:r>
        <w:rPr>
          <w:rFonts w:hint="eastAsia"/>
          <w:sz w:val="72"/>
          <w:szCs w:val="72"/>
          <w:lang w:val="en-US" w:eastAsia="zh-CN"/>
        </w:rPr>
        <w:t>湖南安全技术职业学院</w:t>
      </w:r>
    </w:p>
    <w:p>
      <w:pPr>
        <w:jc w:val="center"/>
        <w:rPr>
          <w:rFonts w:hint="eastAsia"/>
          <w:sz w:val="72"/>
          <w:szCs w:val="72"/>
        </w:rPr>
      </w:pPr>
      <w:r>
        <w:rPr>
          <w:rFonts w:hint="eastAsia"/>
          <w:sz w:val="72"/>
          <w:szCs w:val="72"/>
        </w:rPr>
        <w:t>概况</w:t>
      </w:r>
    </w:p>
    <w:p>
      <w:pPr>
        <w:jc w:val="center"/>
        <w:rPr>
          <w:sz w:val="72"/>
          <w:szCs w:val="72"/>
        </w:rPr>
      </w:pPr>
    </w:p>
    <w:p>
      <w:pPr>
        <w:jc w:val="center"/>
        <w:rPr>
          <w:sz w:val="72"/>
          <w:szCs w:val="72"/>
        </w:rPr>
      </w:pPr>
    </w:p>
    <w:p>
      <w:pPr>
        <w:jc w:val="center"/>
        <w:rPr>
          <w:sz w:val="72"/>
          <w:szCs w:val="72"/>
        </w:rPr>
      </w:pPr>
    </w:p>
    <w:p>
      <w:pPr>
        <w:pStyle w:val="5"/>
        <w:ind w:left="720" w:firstLine="0" w:firstLineChars="0"/>
        <w:jc w:val="left"/>
        <w:rPr>
          <w:rFonts w:ascii="黑体" w:hAnsi="黑体" w:eastAsia="黑体"/>
          <w:sz w:val="32"/>
          <w:szCs w:val="32"/>
        </w:rPr>
      </w:pPr>
    </w:p>
    <w:p>
      <w:pPr>
        <w:pStyle w:val="5"/>
        <w:ind w:left="720" w:firstLine="0" w:firstLineChars="0"/>
        <w:jc w:val="left"/>
        <w:rPr>
          <w:rFonts w:ascii="黑体" w:hAnsi="黑体" w:eastAsia="黑体"/>
          <w:sz w:val="32"/>
          <w:szCs w:val="32"/>
        </w:rPr>
      </w:pPr>
    </w:p>
    <w:p>
      <w:pPr>
        <w:pStyle w:val="5"/>
        <w:ind w:left="720" w:firstLine="0" w:firstLineChars="0"/>
        <w:jc w:val="left"/>
        <w:rPr>
          <w:rFonts w:ascii="黑体" w:hAnsi="黑体" w:eastAsia="黑体"/>
          <w:sz w:val="32"/>
          <w:szCs w:val="32"/>
        </w:rPr>
      </w:pPr>
    </w:p>
    <w:p>
      <w:pPr>
        <w:pStyle w:val="5"/>
        <w:ind w:left="720" w:firstLine="0" w:firstLineChars="0"/>
        <w:jc w:val="left"/>
        <w:rPr>
          <w:rFonts w:ascii="黑体" w:hAnsi="黑体" w:eastAsia="黑体"/>
          <w:sz w:val="32"/>
          <w:szCs w:val="32"/>
        </w:rPr>
      </w:pPr>
    </w:p>
    <w:p>
      <w:pPr>
        <w:pStyle w:val="5"/>
        <w:ind w:left="720" w:firstLine="0" w:firstLineChars="0"/>
        <w:jc w:val="left"/>
        <w:rPr>
          <w:rFonts w:ascii="黑体" w:hAnsi="黑体" w:eastAsia="黑体"/>
          <w:sz w:val="32"/>
          <w:szCs w:val="32"/>
        </w:rPr>
      </w:pPr>
    </w:p>
    <w:p>
      <w:pPr>
        <w:pStyle w:val="5"/>
        <w:ind w:left="720" w:firstLine="0" w:firstLineChars="0"/>
        <w:jc w:val="left"/>
        <w:rPr>
          <w:rFonts w:ascii="黑体" w:hAnsi="黑体" w:eastAsia="黑体"/>
          <w:sz w:val="32"/>
          <w:szCs w:val="32"/>
        </w:rPr>
      </w:pPr>
    </w:p>
    <w:p>
      <w:pPr>
        <w:pStyle w:val="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lang w:val="en-US" w:eastAsia="zh-CN"/>
        </w:rPr>
        <w:t>湖南安全技术职业学院</w:t>
      </w:r>
      <w:r>
        <w:rPr>
          <w:rFonts w:hint="eastAsia" w:asciiTheme="minorEastAsia" w:hAnsiTheme="minorEastAsia"/>
          <w:sz w:val="32"/>
          <w:szCs w:val="32"/>
        </w:rPr>
        <w:t>（以下简称“</w:t>
      </w:r>
      <w:r>
        <w:rPr>
          <w:rFonts w:hint="eastAsia" w:asciiTheme="minorEastAsia" w:hAnsiTheme="minorEastAsia"/>
          <w:sz w:val="32"/>
          <w:szCs w:val="32"/>
          <w:lang w:val="en-US" w:eastAsia="zh-CN"/>
        </w:rPr>
        <w:t>学院</w:t>
      </w:r>
      <w:r>
        <w:rPr>
          <w:rFonts w:hint="eastAsia" w:asciiTheme="minorEastAsia" w:hAnsiTheme="minorEastAsia"/>
          <w:sz w:val="32"/>
          <w:szCs w:val="32"/>
        </w:rPr>
        <w:t>”）的主要职能如下：</w:t>
      </w:r>
    </w:p>
    <w:p>
      <w:pPr>
        <w:ind w:firstLine="320" w:firstLineChars="100"/>
        <w:jc w:val="left"/>
        <w:rPr>
          <w:rFonts w:asciiTheme="minorEastAsia" w:hAnsiTheme="minorEastAsia"/>
          <w:sz w:val="32"/>
          <w:szCs w:val="32"/>
        </w:rPr>
      </w:pPr>
      <w:r>
        <w:rPr>
          <w:rFonts w:hint="eastAsia" w:asciiTheme="minorEastAsia" w:hAnsiTheme="minorEastAsia"/>
          <w:sz w:val="32"/>
          <w:szCs w:val="32"/>
        </w:rPr>
        <w:t>（一）</w:t>
      </w:r>
      <w:r>
        <w:rPr>
          <w:rFonts w:hint="eastAsia" w:asciiTheme="minorEastAsia" w:hAnsiTheme="minorEastAsia"/>
          <w:bCs/>
          <w:kern w:val="0"/>
          <w:sz w:val="32"/>
          <w:szCs w:val="32"/>
          <w:lang w:val="en-US" w:eastAsia="zh-CN"/>
        </w:rPr>
        <w:t>学院以人才培养为根本，以提高质量为核心，开展教育教学、科学研究、社会服务和文化传承创新等业务。</w:t>
      </w:r>
    </w:p>
    <w:p>
      <w:pPr>
        <w:ind w:firstLine="320" w:firstLineChars="100"/>
        <w:jc w:val="left"/>
        <w:rPr>
          <w:rFonts w:asciiTheme="minorEastAsia" w:hAnsiTheme="minorEastAsia"/>
          <w:sz w:val="32"/>
          <w:szCs w:val="32"/>
        </w:rPr>
      </w:pPr>
      <w:r>
        <w:rPr>
          <w:rFonts w:hint="eastAsia" w:asciiTheme="minorEastAsia" w:hAnsiTheme="minorEastAsia"/>
          <w:sz w:val="32"/>
          <w:szCs w:val="32"/>
        </w:rPr>
        <w:t>（二）学院的办学层次以普通全日制专科职业教育为主，积极开展非全日制的安全技术培训。两者互为依托，协调发展。学院坚持普通高等教育与成人教育相结合，职前培养与职后培训相贯通。</w:t>
      </w:r>
    </w:p>
    <w:p>
      <w:pPr>
        <w:ind w:firstLine="320" w:firstLineChars="100"/>
        <w:jc w:val="left"/>
        <w:rPr>
          <w:rFonts w:hint="eastAsia" w:asciiTheme="minorEastAsia" w:hAnsiTheme="minorEastAsia"/>
          <w:sz w:val="32"/>
          <w:szCs w:val="32"/>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三</w:t>
      </w:r>
      <w:r>
        <w:rPr>
          <w:rFonts w:hint="eastAsia" w:asciiTheme="minorEastAsia" w:hAnsiTheme="minorEastAsia"/>
          <w:sz w:val="32"/>
          <w:szCs w:val="32"/>
          <w:lang w:eastAsia="zh-CN"/>
        </w:rPr>
        <w:t>）</w:t>
      </w:r>
      <w:r>
        <w:rPr>
          <w:rFonts w:hint="eastAsia" w:asciiTheme="minorEastAsia" w:hAnsiTheme="minorEastAsia"/>
          <w:sz w:val="32"/>
          <w:szCs w:val="32"/>
        </w:rPr>
        <w:t>学院设置文、工、经、管、教等学科门类。在主管部门的指导和支持下学院可根据国家政策、社会需要、办学实际，依法自主设置和调整学科专业，合理确定办学规模。</w:t>
      </w:r>
    </w:p>
    <w:p>
      <w:pPr>
        <w:jc w:val="left"/>
        <w:rPr>
          <w:rFonts w:hint="eastAsia" w:asciiTheme="minorEastAsia" w:hAnsiTheme="minorEastAsia"/>
          <w:sz w:val="32"/>
          <w:szCs w:val="32"/>
        </w:rPr>
      </w:pPr>
      <w:r>
        <w:rPr>
          <w:rFonts w:hint="eastAsia" w:ascii="仿宋_GB2312" w:eastAsia="仿宋_GB2312" w:hAnsiTheme="minorEastAsia"/>
          <w:sz w:val="28"/>
          <w:szCs w:val="32"/>
        </w:rPr>
        <w:t> </w:t>
      </w:r>
      <w:r>
        <w:rPr>
          <w:rFonts w:hint="eastAsia" w:ascii="仿宋_GB2312" w:eastAsia="仿宋_GB2312" w:hAnsiTheme="minorEastAsia"/>
          <w:sz w:val="28"/>
          <w:szCs w:val="32"/>
          <w:lang w:val="en-US" w:eastAsia="zh-CN"/>
        </w:rPr>
        <w:t xml:space="preserve"> </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四</w:t>
      </w:r>
      <w:r>
        <w:rPr>
          <w:rFonts w:hint="eastAsia" w:asciiTheme="minorEastAsia" w:hAnsiTheme="minorEastAsia"/>
          <w:sz w:val="32"/>
          <w:szCs w:val="32"/>
          <w:lang w:eastAsia="zh-CN"/>
        </w:rPr>
        <w:t>）</w:t>
      </w:r>
      <w:r>
        <w:rPr>
          <w:rFonts w:hint="eastAsia" w:asciiTheme="minorEastAsia" w:hAnsiTheme="minorEastAsia"/>
          <w:sz w:val="32"/>
          <w:szCs w:val="32"/>
        </w:rPr>
        <w:t>学院积极开展面向行业企业的合作办学、应用研究、技术开发、职业岗位培训等社会服务，大力推行工学结合的人才培养模式。</w:t>
      </w:r>
    </w:p>
    <w:p>
      <w:pPr>
        <w:ind w:firstLine="320" w:firstLineChars="100"/>
        <w:jc w:val="left"/>
        <w:rPr>
          <w:rFonts w:hint="eastAsia" w:asciiTheme="minorEastAsia" w:hAnsiTheme="minorEastAsia"/>
          <w:sz w:val="32"/>
          <w:szCs w:val="32"/>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五</w:t>
      </w:r>
      <w:r>
        <w:rPr>
          <w:rFonts w:hint="eastAsia" w:asciiTheme="minorEastAsia" w:hAnsiTheme="minorEastAsia"/>
          <w:sz w:val="32"/>
          <w:szCs w:val="32"/>
          <w:lang w:eastAsia="zh-CN"/>
        </w:rPr>
        <w:t>）</w:t>
      </w:r>
      <w:r>
        <w:rPr>
          <w:rFonts w:hint="eastAsia" w:asciiTheme="minorEastAsia" w:hAnsiTheme="minorEastAsia"/>
          <w:sz w:val="32"/>
          <w:szCs w:val="32"/>
        </w:rPr>
        <w:t>学院建立教学管理规章制度，加强质量监控与评价，根据人才培养目标和要求，制定人才培养方案，组织实施教育教学活动。</w:t>
      </w:r>
    </w:p>
    <w:p>
      <w:pPr>
        <w:ind w:firstLine="320" w:firstLineChars="100"/>
        <w:jc w:val="left"/>
        <w:rPr>
          <w:rFonts w:ascii="仿宋_GB2312" w:eastAsia="仿宋_GB2312" w:hAnsiTheme="minorEastAsia"/>
          <w:sz w:val="28"/>
          <w:szCs w:val="32"/>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六</w:t>
      </w:r>
      <w:r>
        <w:rPr>
          <w:rFonts w:hint="eastAsia" w:asciiTheme="minorEastAsia" w:hAnsiTheme="minorEastAsia"/>
          <w:sz w:val="32"/>
          <w:szCs w:val="32"/>
          <w:lang w:eastAsia="zh-CN"/>
        </w:rPr>
        <w:t>）</w:t>
      </w:r>
      <w:r>
        <w:rPr>
          <w:rFonts w:hint="eastAsia" w:asciiTheme="minorEastAsia" w:hAnsiTheme="minorEastAsia"/>
          <w:sz w:val="32"/>
          <w:szCs w:val="32"/>
        </w:rPr>
        <w:t>学院采取多种形式，加强与地方政府、企事业单位、社会团体及其他社会组织的合作，服务经济社会发展。</w:t>
      </w:r>
    </w:p>
    <w:p>
      <w:pPr>
        <w:widowControl/>
        <w:spacing w:line="600" w:lineRule="exact"/>
        <w:rPr>
          <w:rFonts w:hint="eastAsia" w:ascii="黑体" w:hAnsi="黑体" w:eastAsia="黑体"/>
          <w:bCs/>
          <w:kern w:val="0"/>
          <w:sz w:val="32"/>
          <w:szCs w:val="32"/>
        </w:rPr>
      </w:pPr>
    </w:p>
    <w:p>
      <w:pPr>
        <w:widowControl/>
        <w:spacing w:line="600" w:lineRule="exact"/>
        <w:rPr>
          <w:rFonts w:hint="eastAsia" w:ascii="黑体" w:hAnsi="黑体" w:eastAsia="黑体"/>
          <w:bCs/>
          <w:kern w:val="0"/>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default" w:asciiTheme="minorEastAsia" w:hAnsiTheme="minorEastAsia"/>
          <w:bCs/>
          <w:kern w:val="0"/>
          <w:sz w:val="32"/>
          <w:szCs w:val="32"/>
          <w:lang w:val="en-US"/>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湖南安全技术职业学院</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党政机构、教学教辅机构和群团工会三大类，共22个机构。其中党政机构包括</w:t>
      </w:r>
      <w:r>
        <w:rPr>
          <w:rFonts w:hint="eastAsia" w:asciiTheme="minorEastAsia" w:hAnsiTheme="minorEastAsia"/>
          <w:bCs/>
          <w:kern w:val="0"/>
          <w:sz w:val="32"/>
          <w:szCs w:val="32"/>
        </w:rPr>
        <w:t>党政办、组织人事处、</w:t>
      </w:r>
      <w:r>
        <w:rPr>
          <w:rFonts w:hint="eastAsia" w:asciiTheme="minorEastAsia" w:hAnsiTheme="minorEastAsia"/>
          <w:bCs/>
          <w:kern w:val="0"/>
          <w:sz w:val="32"/>
          <w:szCs w:val="32"/>
          <w:lang w:val="en-US" w:eastAsia="zh-CN"/>
        </w:rPr>
        <w:t>宣传统战部、纪检</w:t>
      </w:r>
      <w:r>
        <w:rPr>
          <w:rFonts w:hint="eastAsia" w:asciiTheme="minorEastAsia" w:hAnsiTheme="minorEastAsia"/>
          <w:bCs/>
          <w:kern w:val="0"/>
          <w:sz w:val="32"/>
          <w:szCs w:val="32"/>
        </w:rPr>
        <w:t>监察审计室、财务处、</w:t>
      </w:r>
      <w:r>
        <w:rPr>
          <w:rFonts w:hint="eastAsia" w:asciiTheme="minorEastAsia" w:hAnsiTheme="minorEastAsia"/>
          <w:bCs/>
          <w:kern w:val="0"/>
          <w:sz w:val="32"/>
          <w:szCs w:val="32"/>
          <w:lang w:val="en-US" w:eastAsia="zh-CN"/>
        </w:rPr>
        <w:t>教务处、规划与质量建设处、学生工作与保卫处（院团委）、招生就业处（创新创业学院）、科研产业处、总务处、基建处、离退休人员管理处13个机构；教学教辅机构包括安全工程学院、安全保障学院、机电信息学院、现代商务学院、基础教育学院（思政课部）、安全培训学院（中南基地办）、图书信息中心7个机构；群团工会包括工会和校友会秘书处2个机构。</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湖南安全技术职业学院</w:t>
      </w:r>
      <w:r>
        <w:rPr>
          <w:rFonts w:asciiTheme="minorEastAsia" w:hAnsiTheme="minorEastAsia"/>
          <w:bCs/>
          <w:kern w:val="0"/>
          <w:sz w:val="32"/>
          <w:szCs w:val="32"/>
        </w:rPr>
        <w:t>2019</w:t>
      </w:r>
      <w:r>
        <w:rPr>
          <w:rFonts w:hint="eastAsia" w:asciiTheme="minorEastAsia" w:hAnsiTheme="minorEastAsia"/>
          <w:bCs/>
          <w:kern w:val="0"/>
          <w:sz w:val="32"/>
          <w:szCs w:val="32"/>
        </w:rPr>
        <w:t>年部门决算公开单位构成</w:t>
      </w:r>
      <w:r>
        <w:rPr>
          <w:rFonts w:hint="eastAsia" w:asciiTheme="minorEastAsia" w:hAnsiTheme="minorEastAsia"/>
          <w:bCs/>
          <w:kern w:val="0"/>
          <w:sz w:val="32"/>
          <w:szCs w:val="32"/>
          <w:lang w:val="en-US" w:eastAsia="zh-CN"/>
        </w:rPr>
        <w:t>为</w:t>
      </w:r>
      <w:r>
        <w:rPr>
          <w:rFonts w:hint="eastAsia" w:asciiTheme="minorEastAsia" w:hAnsiTheme="minorEastAsia"/>
          <w:bCs/>
          <w:kern w:val="0"/>
          <w:sz w:val="32"/>
          <w:szCs w:val="32"/>
        </w:rPr>
        <w:t>湖南安全技术职业学院本级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pPr>
    </w:p>
    <w:p>
      <w:pPr>
        <w:jc w:val="center"/>
      </w:pPr>
      <w:r>
        <w:drawing>
          <wp:inline distT="0" distB="0" distL="114300" distR="114300">
            <wp:extent cx="8038465" cy="3733165"/>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
                    <a:stretch>
                      <a:fillRect/>
                    </a:stretch>
                  </pic:blipFill>
                  <pic:spPr>
                    <a:xfrm>
                      <a:off x="0" y="0"/>
                      <a:ext cx="8038465" cy="3733165"/>
                    </a:xfrm>
                    <a:prstGeom prst="rect">
                      <a:avLst/>
                    </a:prstGeom>
                    <a:noFill/>
                    <a:ln>
                      <a:noFill/>
                    </a:ln>
                  </pic:spPr>
                </pic:pic>
              </a:graphicData>
            </a:graphic>
          </wp:inline>
        </w:drawing>
      </w:r>
    </w:p>
    <w:p>
      <w:pPr>
        <w:jc w:val="center"/>
      </w:pPr>
    </w:p>
    <w:p>
      <w:pPr>
        <w:jc w:val="center"/>
      </w:pPr>
    </w:p>
    <w:p>
      <w:pPr>
        <w:jc w:val="center"/>
        <w:rPr>
          <w:rFonts w:ascii="黑体" w:hAnsi="黑体" w:eastAsia="黑体"/>
          <w:sz w:val="28"/>
          <w:szCs w:val="28"/>
        </w:rPr>
      </w:pPr>
    </w:p>
    <w:p>
      <w:pPr>
        <w:jc w:val="both"/>
        <w:rPr>
          <w:rFonts w:ascii="黑体" w:hAnsi="黑体" w:eastAsia="黑体"/>
          <w:sz w:val="28"/>
          <w:szCs w:val="28"/>
        </w:rPr>
      </w:pPr>
    </w:p>
    <w:p>
      <w:pPr>
        <w:ind w:left="638" w:leftChars="304" w:firstLine="0" w:firstLineChars="0"/>
        <w:jc w:val="both"/>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drawing>
          <wp:inline distT="0" distB="0" distL="114300" distR="114300">
            <wp:extent cx="7990840" cy="5224145"/>
            <wp:effectExtent l="0" t="0" r="10160" b="146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a:stretch>
                      <a:fillRect/>
                    </a:stretch>
                  </pic:blipFill>
                  <pic:spPr>
                    <a:xfrm>
                      <a:off x="0" y="0"/>
                      <a:ext cx="7990840" cy="5224145"/>
                    </a:xfrm>
                    <a:prstGeom prst="rect">
                      <a:avLst/>
                    </a:prstGeom>
                    <a:noFill/>
                    <a:ln>
                      <a:noFill/>
                    </a:ln>
                  </pic:spPr>
                </pic:pic>
              </a:graphicData>
            </a:graphic>
          </wp:inline>
        </w:drawing>
      </w:r>
    </w:p>
    <w:p>
      <w:pPr>
        <w:widowControl/>
        <w:jc w:val="left"/>
        <w:rPr>
          <w:rFonts w:ascii="Times New Roman" w:hAnsi="Times New Roman" w:eastAsia="黑体" w:cs="Times New Roman"/>
          <w:bCs/>
          <w:kern w:val="0"/>
          <w:sz w:val="32"/>
          <w:szCs w:val="32"/>
        </w:rPr>
      </w:pPr>
      <w:r>
        <w:rPr>
          <w:rFonts w:hint="eastAsia"/>
          <w:lang w:val="en-US" w:eastAsia="zh-CN"/>
        </w:rPr>
        <w:t xml:space="preserve">               </w:t>
      </w:r>
      <w:r>
        <w:drawing>
          <wp:inline distT="0" distB="0" distL="114300" distR="114300">
            <wp:extent cx="7941310" cy="6644005"/>
            <wp:effectExtent l="0" t="0" r="254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stretch>
                      <a:fillRect/>
                    </a:stretch>
                  </pic:blipFill>
                  <pic:spPr>
                    <a:xfrm>
                      <a:off x="0" y="0"/>
                      <a:ext cx="7941310" cy="6644005"/>
                    </a:xfrm>
                    <a:prstGeom prst="rect">
                      <a:avLst/>
                    </a:prstGeom>
                    <a:noFill/>
                    <a:ln>
                      <a:noFill/>
                    </a:ln>
                  </pic:spPr>
                </pic:pic>
              </a:graphicData>
            </a:graphic>
          </wp:inline>
        </w:drawing>
      </w:r>
    </w:p>
    <w:p>
      <w:pPr>
        <w:widowControl/>
        <w:rPr>
          <w:rFonts w:hint="eastAsia"/>
          <w:lang w:val="en-US" w:eastAsia="zh-CN"/>
        </w:rPr>
      </w:pPr>
      <w:r>
        <w:rPr>
          <w:rFonts w:hint="eastAsia"/>
          <w:lang w:val="en-US" w:eastAsia="zh-CN"/>
        </w:rPr>
        <w:t xml:space="preserve">     </w:t>
      </w:r>
    </w:p>
    <w:p>
      <w:pPr>
        <w:widowControl/>
        <w:rPr>
          <w:rFonts w:hint="eastAsia"/>
          <w:lang w:val="en-US" w:eastAsia="zh-CN"/>
        </w:rPr>
      </w:pPr>
    </w:p>
    <w:p>
      <w:pPr>
        <w:widowControl/>
        <w:rPr>
          <w:rFonts w:hint="eastAsia"/>
          <w:lang w:val="en-US" w:eastAsia="zh-CN"/>
        </w:rPr>
      </w:pPr>
    </w:p>
    <w:p>
      <w:pPr>
        <w:widowControl/>
        <w:rPr>
          <w:rFonts w:ascii="Times New Roman" w:hAnsi="Times New Roman" w:eastAsia="方正小标宋_GBK" w:cs="Times New Roman"/>
          <w:color w:val="000000"/>
          <w:kern w:val="0"/>
          <w:sz w:val="36"/>
          <w:szCs w:val="36"/>
        </w:rPr>
      </w:pPr>
      <w:r>
        <w:rPr>
          <w:rFonts w:hint="eastAsia"/>
          <w:lang w:val="en-US" w:eastAsia="zh-CN"/>
        </w:rPr>
        <w:t xml:space="preserve">   </w:t>
      </w:r>
      <w:r>
        <w:drawing>
          <wp:inline distT="0" distB="0" distL="114300" distR="114300">
            <wp:extent cx="9057640" cy="4000500"/>
            <wp:effectExtent l="0" t="0" r="1016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9057640" cy="4000500"/>
                    </a:xfrm>
                    <a:prstGeom prst="rect">
                      <a:avLst/>
                    </a:prstGeom>
                    <a:noFill/>
                    <a:ln>
                      <a:noFill/>
                    </a:ln>
                  </pic:spPr>
                </pic:pic>
              </a:graphicData>
            </a:graphic>
          </wp:inline>
        </w:drawing>
      </w: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F16"/>
    </w:p>
    <w:p>
      <w:pPr>
        <w:widowControl/>
        <w:jc w:val="center"/>
        <w:rPr>
          <w:rFonts w:ascii="Times New Roman" w:hAnsi="Times New Roman" w:eastAsia="方正小标宋_GBK" w:cs="Times New Roman"/>
          <w:kern w:val="0"/>
          <w:sz w:val="36"/>
          <w:szCs w:val="36"/>
        </w:rPr>
      </w:pPr>
      <w:r>
        <w:drawing>
          <wp:inline distT="0" distB="0" distL="114300" distR="114300">
            <wp:extent cx="7410450" cy="63246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7410450" cy="6324600"/>
                    </a:xfrm>
                    <a:prstGeom prst="rect">
                      <a:avLst/>
                    </a:prstGeom>
                    <a:noFill/>
                    <a:ln>
                      <a:noFill/>
                    </a:ln>
                  </pic:spPr>
                </pic:pic>
              </a:graphicData>
            </a:graphic>
          </wp:inline>
        </w:drawing>
      </w: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drawing>
          <wp:inline distT="0" distB="0" distL="114300" distR="114300">
            <wp:extent cx="8552815" cy="4559935"/>
            <wp:effectExtent l="0" t="0" r="635" b="1206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9"/>
                    <a:stretch>
                      <a:fillRect/>
                    </a:stretch>
                  </pic:blipFill>
                  <pic:spPr>
                    <a:xfrm>
                      <a:off x="0" y="0"/>
                      <a:ext cx="8552815" cy="4559935"/>
                    </a:xfrm>
                    <a:prstGeom prst="rect">
                      <a:avLst/>
                    </a:prstGeom>
                    <a:noFill/>
                    <a:ln>
                      <a:noFill/>
                    </a:ln>
                  </pic:spPr>
                </pic:pic>
              </a:graphicData>
            </a:graphic>
          </wp:inline>
        </w:drawing>
      </w: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0"/>
    <w:p>
      <w:pPr>
        <w:widowControl/>
        <w:jc w:val="left"/>
        <w:rPr>
          <w:rFonts w:ascii="Times New Roman" w:hAnsi="Times New Roman" w:eastAsia="仿宋_GB2312" w:cs="Times New Roman"/>
          <w:bCs/>
          <w:kern w:val="0"/>
          <w:szCs w:val="21"/>
        </w:rPr>
      </w:pPr>
    </w:p>
    <w:p>
      <w:pPr>
        <w:widowControl/>
        <w:jc w:val="left"/>
        <w:rPr>
          <w:rFonts w:ascii="黑体" w:hAnsi="黑体" w:eastAsia="黑体"/>
          <w:szCs w:val="21"/>
        </w:rPr>
      </w:pPr>
    </w:p>
    <w:p>
      <w:pPr>
        <w:widowControl/>
        <w:jc w:val="left"/>
      </w:pPr>
      <w:r>
        <w:drawing>
          <wp:inline distT="0" distB="0" distL="114300" distR="114300">
            <wp:extent cx="9775190" cy="2060575"/>
            <wp:effectExtent l="0" t="0" r="16510" b="158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9775190" cy="2060575"/>
                    </a:xfrm>
                    <a:prstGeom prst="rect">
                      <a:avLst/>
                    </a:prstGeom>
                    <a:noFill/>
                    <a:ln>
                      <a:noFill/>
                    </a:ln>
                  </pic:spPr>
                </pic:pic>
              </a:graphicData>
            </a:graphic>
          </wp:inline>
        </w:drawing>
      </w:r>
    </w:p>
    <w:p>
      <w:pPr>
        <w:widowControl/>
        <w:jc w:val="left"/>
      </w:pPr>
    </w:p>
    <w:p>
      <w:pPr>
        <w:widowControl/>
        <w:jc w:val="left"/>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（注：湖南安全技术职业学院没有安排公共预算财政资金用于“三公”经费支出，故本表无数据。） </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r>
        <w:drawing>
          <wp:inline distT="0" distB="0" distL="114300" distR="114300">
            <wp:extent cx="9525000" cy="21526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1"/>
                    <a:stretch>
                      <a:fillRect/>
                    </a:stretch>
                  </pic:blipFill>
                  <pic:spPr>
                    <a:xfrm>
                      <a:off x="0" y="0"/>
                      <a:ext cx="9525000" cy="2152650"/>
                    </a:xfrm>
                    <a:prstGeom prst="rect">
                      <a:avLst/>
                    </a:prstGeom>
                    <a:noFill/>
                    <a:ln>
                      <a:noFill/>
                    </a:ln>
                  </pic:spPr>
                </pic:pic>
              </a:graphicData>
            </a:graphic>
          </wp:inline>
        </w:drawing>
      </w:r>
    </w:p>
    <w:p>
      <w:pPr>
        <w:widowControl/>
        <w:jc w:val="left"/>
      </w:pPr>
    </w:p>
    <w:p>
      <w:pPr>
        <w:widowControl/>
        <w:jc w:val="left"/>
      </w:pPr>
    </w:p>
    <w:p>
      <w:pPr>
        <w:keepNext w:val="0"/>
        <w:keepLines w:val="0"/>
        <w:widowControl/>
        <w:suppressLineNumbers w:val="0"/>
        <w:jc w:val="left"/>
        <w:rPr>
          <w:rFonts w:ascii="宋体" w:eastAsia="宋体" w:cs="宋体"/>
          <w:kern w:val="0"/>
          <w:sz w:val="24"/>
          <w:szCs w:val="24"/>
        </w:rPr>
      </w:pPr>
      <w:r>
        <w:rPr>
          <w:rFonts w:hint="eastAsia" w:ascii="宋体" w:hAnsi="宋体" w:eastAsia="宋体" w:cs="宋体"/>
          <w:color w:val="000000"/>
          <w:kern w:val="0"/>
          <w:sz w:val="21"/>
          <w:szCs w:val="21"/>
          <w:lang w:val="en-US" w:eastAsia="zh-CN" w:bidi="ar"/>
        </w:rPr>
        <w:t xml:space="preserve">（注：湖南安全技术职业学院没有政府性基金收入，也没有使用政府性基金安排的支出，故本表无数据。） </w:t>
      </w:r>
    </w:p>
    <w:p>
      <w:pPr>
        <w:pStyle w:val="4"/>
        <w:rPr>
          <w:sz w:val="72"/>
          <w:szCs w:val="72"/>
        </w:rPr>
        <w:sectPr>
          <w:pgSz w:w="16838" w:h="11906" w:orient="landscape"/>
          <w:pgMar w:top="720" w:right="720" w:bottom="720" w:left="720" w:header="851" w:footer="992" w:gutter="0"/>
          <w:cols w:space="425" w:num="1"/>
          <w:docGrid w:type="lines" w:linePitch="312" w:charSpace="0"/>
        </w:sectPr>
      </w:pPr>
    </w:p>
    <w:p>
      <w:pPr>
        <w:pStyle w:val="4"/>
        <w:rPr>
          <w:sz w:val="72"/>
          <w:szCs w:val="72"/>
        </w:rPr>
      </w:pPr>
    </w:p>
    <w:p>
      <w:pPr>
        <w:pStyle w:val="4"/>
        <w:rPr>
          <w:sz w:val="72"/>
          <w:szCs w:val="72"/>
        </w:rPr>
      </w:pPr>
    </w:p>
    <w:p>
      <w:pPr>
        <w:pStyle w:val="4"/>
        <w:rPr>
          <w:sz w:val="72"/>
          <w:szCs w:val="72"/>
        </w:rPr>
      </w:pPr>
    </w:p>
    <w:p>
      <w:pPr>
        <w:pStyle w:val="4"/>
        <w:rPr>
          <w:sz w:val="72"/>
          <w:szCs w:val="72"/>
        </w:rPr>
      </w:pPr>
    </w:p>
    <w:p>
      <w:pPr>
        <w:pStyle w:val="4"/>
        <w:jc w:val="center"/>
        <w:rPr>
          <w:sz w:val="72"/>
          <w:szCs w:val="72"/>
        </w:rPr>
      </w:pPr>
    </w:p>
    <w:p>
      <w:pPr>
        <w:pStyle w:val="4"/>
        <w:jc w:val="center"/>
        <w:rPr>
          <w:sz w:val="72"/>
          <w:szCs w:val="72"/>
        </w:rPr>
      </w:pPr>
    </w:p>
    <w:p>
      <w:pPr>
        <w:jc w:val="center"/>
        <w:rPr>
          <w:rFonts w:hint="eastAsia"/>
          <w:sz w:val="72"/>
          <w:szCs w:val="72"/>
        </w:rPr>
      </w:pPr>
      <w:r>
        <w:rPr>
          <w:rFonts w:hint="eastAsia"/>
          <w:sz w:val="72"/>
          <w:szCs w:val="72"/>
        </w:rPr>
        <w:t>第三部分</w:t>
      </w:r>
    </w:p>
    <w:p>
      <w:pPr>
        <w:jc w:val="center"/>
        <w:rPr>
          <w:rFonts w:hint="eastAsia"/>
          <w:sz w:val="72"/>
          <w:szCs w:val="72"/>
        </w:rPr>
      </w:pPr>
    </w:p>
    <w:p>
      <w:pPr>
        <w:jc w:val="center"/>
        <w:rPr>
          <w:rFonts w:hint="eastAsia"/>
          <w:sz w:val="72"/>
          <w:szCs w:val="72"/>
        </w:rPr>
      </w:pPr>
      <w:r>
        <w:rPr>
          <w:rFonts w:hint="eastAsia"/>
          <w:sz w:val="72"/>
          <w:szCs w:val="72"/>
        </w:rPr>
        <w:t>2019年度部门决算情况</w:t>
      </w:r>
    </w:p>
    <w:p>
      <w:pPr>
        <w:jc w:val="center"/>
        <w:rPr>
          <w:rFonts w:hint="eastAsia"/>
          <w:sz w:val="72"/>
          <w:szCs w:val="72"/>
        </w:rPr>
      </w:pPr>
      <w:r>
        <w:rPr>
          <w:rFonts w:hint="eastAsia"/>
          <w:sz w:val="72"/>
          <w:szCs w:val="72"/>
        </w:rPr>
        <w:t>说明</w:t>
      </w:r>
    </w:p>
    <w:p>
      <w:pPr>
        <w:widowControl/>
        <w:jc w:val="left"/>
        <w:rPr>
          <w:rFonts w:ascii="黑体" w:eastAsia="黑体" w:cs="黑体"/>
          <w:color w:val="000000"/>
          <w:kern w:val="0"/>
          <w:sz w:val="70"/>
          <w:szCs w:val="70"/>
        </w:rPr>
      </w:pPr>
      <w:r>
        <w:rPr>
          <w:sz w:val="70"/>
          <w:szCs w:val="70"/>
        </w:rPr>
        <w:br w:type="page"/>
      </w:r>
    </w:p>
    <w:p>
      <w:pPr>
        <w:pStyle w:val="4"/>
        <w:rPr>
          <w:rFonts w:hAnsi="黑体"/>
          <w:b/>
          <w:sz w:val="32"/>
          <w:szCs w:val="32"/>
        </w:rPr>
      </w:pPr>
      <w:r>
        <w:rPr>
          <w:rFonts w:hint="eastAsia" w:hAnsi="黑体"/>
          <w:b/>
          <w:sz w:val="32"/>
          <w:szCs w:val="32"/>
        </w:rPr>
        <w:t>一、收入支出决算总体情况说明</w:t>
      </w:r>
    </w:p>
    <w:p>
      <w:pPr>
        <w:pStyle w:val="4"/>
        <w:ind w:left="0" w:leftChars="0" w:right="98" w:rightChars="47"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 年度收、支总计</w:t>
      </w:r>
      <w:r>
        <w:rPr>
          <w:rFonts w:hint="eastAsia" w:asciiTheme="minorEastAsia" w:hAnsiTheme="minorEastAsia" w:eastAsiaTheme="minorEastAsia"/>
          <w:sz w:val="32"/>
          <w:szCs w:val="32"/>
          <w:lang w:val="en-US" w:eastAsia="zh-CN"/>
        </w:rPr>
        <w:t>19295.08</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6309.4</w:t>
      </w:r>
      <w:r>
        <w:rPr>
          <w:rFonts w:hint="eastAsia" w:asciiTheme="minorEastAsia" w:hAnsiTheme="minorEastAsia" w:eastAsiaTheme="minorEastAsia"/>
          <w:sz w:val="32"/>
          <w:szCs w:val="32"/>
        </w:rPr>
        <w:t>万元，主要是因为财政拨款收入</w:t>
      </w:r>
      <w:r>
        <w:rPr>
          <w:rFonts w:hint="eastAsia" w:asciiTheme="minorEastAsia" w:hAnsiTheme="minorEastAsia" w:eastAsiaTheme="minorEastAsia"/>
          <w:sz w:val="32"/>
          <w:szCs w:val="32"/>
          <w:lang w:val="en-US" w:eastAsia="zh-CN"/>
        </w:rPr>
        <w:t>和项目支出增加。</w:t>
      </w:r>
    </w:p>
    <w:p>
      <w:pPr>
        <w:pStyle w:val="4"/>
        <w:rPr>
          <w:rFonts w:hAnsi="黑体"/>
          <w:b/>
          <w:sz w:val="32"/>
          <w:szCs w:val="32"/>
        </w:rPr>
      </w:pPr>
      <w:r>
        <w:rPr>
          <w:rFonts w:hint="eastAsia" w:hAnsi="黑体"/>
          <w:b/>
          <w:sz w:val="32"/>
          <w:szCs w:val="32"/>
        </w:rPr>
        <w:t>二、收入决算情况说明</w:t>
      </w:r>
    </w:p>
    <w:p>
      <w:pPr>
        <w:pStyle w:val="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16595.57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10980.3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66.16</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5035.93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30.35</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579.35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3.49</w:t>
      </w:r>
      <w:r>
        <w:rPr>
          <w:rFonts w:hint="eastAsia" w:asciiTheme="minorEastAsia" w:hAnsiTheme="minorEastAsia" w:eastAsiaTheme="minorEastAsia"/>
          <w:sz w:val="32"/>
          <w:szCs w:val="32"/>
        </w:rPr>
        <w:t>%。</w:t>
      </w:r>
    </w:p>
    <w:p>
      <w:pPr>
        <w:pStyle w:val="4"/>
        <w:rPr>
          <w:rFonts w:hAnsi="黑体"/>
          <w:b/>
          <w:sz w:val="32"/>
          <w:szCs w:val="32"/>
        </w:rPr>
      </w:pPr>
      <w:r>
        <w:rPr>
          <w:rFonts w:hint="eastAsia" w:hAnsi="黑体"/>
          <w:b/>
          <w:sz w:val="32"/>
          <w:szCs w:val="32"/>
        </w:rPr>
        <w:t>三、支出决算情况说明</w:t>
      </w:r>
    </w:p>
    <w:p>
      <w:pPr>
        <w:pStyle w:val="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16132.83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7592.94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47.06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8539.89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52.94</w:t>
      </w:r>
      <w:r>
        <w:rPr>
          <w:rFonts w:hint="eastAsia" w:asciiTheme="minorEastAsia" w:hAnsiTheme="minorEastAsia" w:eastAsiaTheme="minorEastAsia"/>
          <w:sz w:val="32"/>
          <w:szCs w:val="32"/>
        </w:rPr>
        <w:t>%。</w:t>
      </w:r>
    </w:p>
    <w:p>
      <w:pPr>
        <w:pStyle w:val="4"/>
        <w:rPr>
          <w:rFonts w:hAnsi="黑体"/>
          <w:b/>
          <w:sz w:val="32"/>
          <w:szCs w:val="32"/>
        </w:rPr>
      </w:pPr>
      <w:r>
        <w:rPr>
          <w:rFonts w:hint="eastAsia" w:hAnsi="黑体"/>
          <w:b/>
          <w:sz w:val="32"/>
          <w:szCs w:val="32"/>
        </w:rPr>
        <w:t>四、财政拨款收入支出决算总体情况说明</w:t>
      </w:r>
    </w:p>
    <w:p>
      <w:pPr>
        <w:pStyle w:val="4"/>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2019年度财政拨款收、支总计</w:t>
      </w:r>
      <w:r>
        <w:rPr>
          <w:rFonts w:hint="eastAsia" w:asciiTheme="minorEastAsia" w:hAnsiTheme="minorEastAsia" w:eastAsiaTheme="minorEastAsia"/>
          <w:sz w:val="32"/>
          <w:szCs w:val="32"/>
          <w:lang w:val="en-US" w:eastAsia="zh-CN"/>
        </w:rPr>
        <w:t>13596.07</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5064.32万元，</w:t>
      </w:r>
      <w:r>
        <w:rPr>
          <w:rFonts w:hint="eastAsia" w:asciiTheme="minorEastAsia" w:hAnsiTheme="minorEastAsia" w:eastAsiaTheme="minorEastAsia"/>
          <w:sz w:val="32"/>
          <w:szCs w:val="32"/>
        </w:rPr>
        <w:t>增长</w:t>
      </w:r>
      <w:r>
        <w:rPr>
          <w:rFonts w:hint="eastAsia" w:asciiTheme="minorEastAsia" w:hAnsiTheme="minorEastAsia" w:eastAsiaTheme="minorEastAsia"/>
          <w:sz w:val="32"/>
          <w:szCs w:val="32"/>
          <w:lang w:val="en-US" w:eastAsia="zh-CN"/>
        </w:rPr>
        <w:t>59.36</w:t>
      </w:r>
      <w:r>
        <w:rPr>
          <w:rFonts w:hint="eastAsia" w:asciiTheme="minorEastAsia" w:hAnsiTheme="minorEastAsia" w:eastAsiaTheme="minorEastAsia"/>
          <w:sz w:val="32"/>
          <w:szCs w:val="32"/>
        </w:rPr>
        <w:t>%，主要是因为财政拨款收入</w:t>
      </w:r>
      <w:r>
        <w:rPr>
          <w:rFonts w:hint="eastAsia" w:asciiTheme="minorEastAsia" w:hAnsiTheme="minorEastAsia" w:eastAsiaTheme="minorEastAsia"/>
          <w:sz w:val="32"/>
          <w:szCs w:val="32"/>
          <w:lang w:val="en-US" w:eastAsia="zh-CN"/>
        </w:rPr>
        <w:t>和项目支出增加。</w:t>
      </w:r>
    </w:p>
    <w:p>
      <w:pPr>
        <w:pStyle w:val="4"/>
        <w:rPr>
          <w:rFonts w:hAnsi="黑体"/>
          <w:b/>
          <w:sz w:val="32"/>
          <w:szCs w:val="32"/>
        </w:rPr>
      </w:pPr>
      <w:r>
        <w:rPr>
          <w:rFonts w:hint="eastAsia" w:hAnsi="黑体"/>
          <w:b/>
          <w:sz w:val="32"/>
          <w:szCs w:val="32"/>
        </w:rPr>
        <w:t>五、一般公共预算财政拨款支出决算情况说明</w:t>
      </w:r>
    </w:p>
    <w:p>
      <w:pPr>
        <w:pStyle w:val="4"/>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10433.81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64.67</w:t>
      </w:r>
      <w:r>
        <w:rPr>
          <w:rFonts w:hint="eastAsia" w:asciiTheme="minorEastAsia" w:hAnsiTheme="minorEastAsia" w:eastAsiaTheme="minorEastAsia"/>
          <w:sz w:val="32"/>
          <w:szCs w:val="32"/>
        </w:rPr>
        <w:t>%，与2018年相比，财政拨款支出增加</w:t>
      </w:r>
      <w:r>
        <w:rPr>
          <w:rFonts w:hint="eastAsia" w:asciiTheme="minorEastAsia" w:hAnsiTheme="minorEastAsia" w:eastAsiaTheme="minorEastAsia"/>
          <w:sz w:val="32"/>
          <w:szCs w:val="32"/>
          <w:lang w:val="en-US" w:eastAsia="zh-CN"/>
        </w:rPr>
        <w:t>4475.71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75.12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项目支出增加、使用公共财政拨款预算安排的人员工资福利支出增加。</w:t>
      </w:r>
    </w:p>
    <w:p>
      <w:pPr>
        <w:pStyle w:val="4"/>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10433.81</w:t>
      </w:r>
      <w:r>
        <w:rPr>
          <w:rFonts w:hint="eastAsia" w:asciiTheme="minorEastAsia" w:hAnsiTheme="minorEastAsia" w:eastAsiaTheme="minorEastAsia"/>
          <w:sz w:val="32"/>
          <w:szCs w:val="32"/>
        </w:rPr>
        <w:t>万元，主要用于以下方面：教育支出</w:t>
      </w:r>
      <w:r>
        <w:rPr>
          <w:rFonts w:hint="eastAsia" w:asciiTheme="minorEastAsia" w:hAnsiTheme="minorEastAsia" w:eastAsiaTheme="minorEastAsia"/>
          <w:sz w:val="32"/>
          <w:szCs w:val="32"/>
          <w:lang w:val="en-US" w:eastAsia="zh-CN"/>
        </w:rPr>
        <w:t>8265.99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79.23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lang w:val="en-US" w:eastAsia="zh-CN"/>
        </w:rPr>
        <w:t>1.33，占0.01%；社会保障和就业支出4.54万元，占0.04%；</w:t>
      </w:r>
      <w:r>
        <w:rPr>
          <w:rFonts w:hint="eastAsia" w:asciiTheme="minorEastAsia" w:hAnsiTheme="minorEastAsia" w:eastAsiaTheme="minorEastAsia"/>
          <w:sz w:val="32"/>
          <w:szCs w:val="32"/>
        </w:rPr>
        <w:t>资源勘探信息等支出</w:t>
      </w:r>
      <w:r>
        <w:rPr>
          <w:rFonts w:hint="eastAsia" w:asciiTheme="minorEastAsia" w:hAnsiTheme="minorEastAsia" w:eastAsiaTheme="minorEastAsia"/>
          <w:sz w:val="32"/>
          <w:szCs w:val="32"/>
          <w:lang w:val="en-US" w:eastAsia="zh-CN"/>
        </w:rPr>
        <w:t>258.18万元，占2.47%；住房保障支出377.66万元，占3.62%；灾害防治及应急管理支出1526.11万元，占14.63%。</w:t>
      </w:r>
    </w:p>
    <w:p>
      <w:pPr>
        <w:pStyle w:val="4"/>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13596.07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10433.81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76.74</w:t>
      </w:r>
      <w:r>
        <w:rPr>
          <w:rFonts w:hint="eastAsia" w:asciiTheme="minorEastAsia" w:hAnsiTheme="minorEastAsia" w:eastAsiaTheme="minorEastAsia"/>
          <w:sz w:val="32"/>
          <w:szCs w:val="32"/>
        </w:rPr>
        <w:t>%，其中：</w:t>
      </w:r>
    </w:p>
    <w:p>
      <w:pPr>
        <w:pStyle w:val="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1、教育（类）职业教育（款）</w:t>
      </w:r>
      <w:r>
        <w:rPr>
          <w:rFonts w:hint="eastAsia" w:asciiTheme="minorEastAsia" w:hAnsiTheme="minorEastAsia" w:eastAsiaTheme="minorEastAsia"/>
          <w:sz w:val="32"/>
          <w:szCs w:val="32"/>
          <w:lang w:val="en-US" w:eastAsia="zh-CN"/>
        </w:rPr>
        <w:t>中</w:t>
      </w:r>
      <w:r>
        <w:rPr>
          <w:rFonts w:hint="eastAsia" w:asciiTheme="minorEastAsia" w:hAnsiTheme="minorEastAsia" w:eastAsiaTheme="minorEastAsia"/>
          <w:sz w:val="32"/>
          <w:szCs w:val="32"/>
        </w:rPr>
        <w:t>等职业教育（项）。</w:t>
      </w:r>
    </w:p>
    <w:p>
      <w:pPr>
        <w:pStyle w:val="4"/>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上年结余的财政资金31.02万元，年中财政追加60.5万元，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211.2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4"/>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教育（类）职业教育（款）高等职业教育（项）。</w:t>
      </w:r>
    </w:p>
    <w:p>
      <w:pPr>
        <w:pStyle w:val="4"/>
        <w:numPr>
          <w:ilvl w:val="0"/>
          <w:numId w:val="0"/>
        </w:numPr>
        <w:ind w:firstLine="640" w:firstLineChars="20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4907.82万元，上年结余的财政资金1574.18万元，年中财政追加3848.83万元，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8054.78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4"/>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文化旅游体育与传媒支出（类）其他文化体育与传媒支出（款）其他文化体育与传媒支出（项）。</w:t>
      </w:r>
    </w:p>
    <w:p>
      <w:pPr>
        <w:pStyle w:val="4"/>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年初没有安排预算，是上年结余的财政资金1.8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4"/>
        <w:numPr>
          <w:ilvl w:val="0"/>
          <w:numId w:val="2"/>
        </w:numPr>
        <w:ind w:left="0" w:leftChars="0" w:firstLine="800" w:firstLineChars="250"/>
        <w:rPr>
          <w:rFonts w:hint="eastAsia" w:asciiTheme="minorEastAsia" w:hAnsiTheme="minorEastAsia" w:eastAsiaTheme="minorEastAsia"/>
          <w:sz w:val="32"/>
          <w:szCs w:val="32"/>
          <w:lang w:eastAsia="zh-CN"/>
        </w:rPr>
      </w:pPr>
      <w:r>
        <w:rPr>
          <w:rFonts w:hint="default" w:asciiTheme="minorEastAsia" w:hAnsiTheme="minorEastAsia" w:eastAsiaTheme="minorEastAsia"/>
          <w:sz w:val="32"/>
          <w:szCs w:val="32"/>
          <w:lang w:val="en-US" w:eastAsia="zh-CN"/>
        </w:rPr>
        <w:t>社会保障和就业（类）就业补助（款）就业创业服务补贴（项）。</w:t>
      </w:r>
    </w:p>
    <w:p>
      <w:pPr>
        <w:pStyle w:val="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年初没有安排预算，是上年结余的财政资金5.02万元，年中财政追加2018年校园招聘活动一次性补助11.3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4"/>
        <w:numPr>
          <w:ilvl w:val="0"/>
          <w:numId w:val="2"/>
        </w:numPr>
        <w:ind w:left="0" w:leftChars="0"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资源勘探信息等支出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资源勘探开发（款）其他资源勘探业支出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项</w:t>
      </w:r>
      <w:r>
        <w:rPr>
          <w:rFonts w:hint="eastAsia" w:asciiTheme="minorEastAsia" w:hAnsiTheme="minorEastAsia" w:eastAsiaTheme="minorEastAsia"/>
          <w:sz w:val="32"/>
          <w:szCs w:val="32"/>
          <w:lang w:eastAsia="zh-CN"/>
        </w:rPr>
        <w:t>）。</w:t>
      </w:r>
    </w:p>
    <w:p>
      <w:pPr>
        <w:pStyle w:val="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年初没有安排预算，是上年结余的财政资金373.97</w:t>
      </w:r>
      <w:r>
        <w:rPr>
          <w:rFonts w:hint="eastAsia" w:asciiTheme="minorEastAsia" w:hAnsiTheme="minorEastAsia" w:eastAsiaTheme="minorEastAsia"/>
          <w:sz w:val="32"/>
          <w:szCs w:val="32"/>
        </w:rPr>
        <w:t>元，支出决算为</w:t>
      </w:r>
      <w:r>
        <w:rPr>
          <w:rFonts w:hint="eastAsia" w:asciiTheme="minorEastAsia" w:hAnsiTheme="minorEastAsia" w:eastAsiaTheme="minorEastAsia"/>
          <w:sz w:val="32"/>
          <w:szCs w:val="32"/>
          <w:lang w:val="en-US" w:eastAsia="zh-CN"/>
        </w:rPr>
        <w:t>257.24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资源勘探信息等支出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其他资源勘探信息等支出（款）技术改造支出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项</w:t>
      </w:r>
      <w:r>
        <w:rPr>
          <w:rFonts w:hint="eastAsia" w:asciiTheme="minorEastAsia" w:hAnsiTheme="minorEastAsia" w:eastAsiaTheme="minorEastAsia"/>
          <w:sz w:val="32"/>
          <w:szCs w:val="32"/>
          <w:lang w:eastAsia="zh-CN"/>
        </w:rPr>
        <w:t>）。</w:t>
      </w:r>
    </w:p>
    <w:p>
      <w:pPr>
        <w:pStyle w:val="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年初没有安排预算，是上年结余的财政资金20.94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0.94</w:t>
      </w:r>
      <w:r>
        <w:rPr>
          <w:rFonts w:hint="eastAsia" w:asciiTheme="minorEastAsia" w:hAnsiTheme="minorEastAsia" w:eastAsiaTheme="minorEastAsia"/>
          <w:sz w:val="32"/>
          <w:szCs w:val="32"/>
        </w:rPr>
        <w:t>万元。</w:t>
      </w:r>
    </w:p>
    <w:p>
      <w:pPr>
        <w:pStyle w:val="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住房保障（类）住房改革支出（款）住房公积金（项）。</w:t>
      </w:r>
    </w:p>
    <w:p>
      <w:pPr>
        <w:pStyle w:val="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377.66万元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377.66万元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lang w:eastAsia="zh-CN"/>
        </w:rPr>
        <w:t>灾害防治及应急管理（类）应急管理事务（款）安全监管（项）。</w:t>
      </w:r>
    </w:p>
    <w:p>
      <w:pPr>
        <w:pStyle w:val="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上年结余的财政资金3.84万元，年中财政追加220.19万元，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148.77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lang w:eastAsia="zh-CN"/>
        </w:rPr>
        <w:t>灾害防治及应急管理（类）应急管理事务（款）应急管理（项）。</w:t>
      </w:r>
    </w:p>
    <w:p>
      <w:pPr>
        <w:pStyle w:val="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288.82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82.52</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val="en-US" w:eastAsia="zh-CN"/>
        </w:rPr>
        <w:t>培训安排在年末，培训结束后年底财政资金已收回，无法报账。</w:t>
      </w:r>
    </w:p>
    <w:p>
      <w:pPr>
        <w:pStyle w:val="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lang w:eastAsia="zh-CN"/>
        </w:rPr>
        <w:t>灾害防治及应急管理（类）应急管理事务（款）其他应急管理支出（项）。</w:t>
      </w:r>
    </w:p>
    <w:p>
      <w:pPr>
        <w:pStyle w:val="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上年结余的财政资金600万元，年中财政追加1070万元，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1088.52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4"/>
        <w:rPr>
          <w:rFonts w:hAnsi="黑体"/>
          <w:b/>
          <w:sz w:val="32"/>
          <w:szCs w:val="32"/>
        </w:rPr>
      </w:pPr>
      <w:r>
        <w:rPr>
          <w:rFonts w:hint="eastAsia" w:hAnsi="黑体"/>
          <w:b/>
          <w:sz w:val="32"/>
          <w:szCs w:val="32"/>
        </w:rPr>
        <w:t>六、一般公共预算财政拨款基本支出决算情况说明</w:t>
      </w:r>
    </w:p>
    <w:p>
      <w:pPr>
        <w:pStyle w:val="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4497.74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4127.46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91.77</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val="en-US" w:eastAsia="zh-CN"/>
        </w:rPr>
        <w:t>绩效工资、住房公积金、其他工资福利支出、离休费、退休费、抚恤金、生活补助、医疗费补助、助学金</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370.29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8.23</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val="en-US" w:eastAsia="zh-CN"/>
        </w:rPr>
        <w:t>邮电</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val="en-US" w:eastAsia="zh-CN"/>
        </w:rPr>
        <w:t>物业管理费、维修（护）费、租赁费、其他商品和服务支出、其他资本性支出</w:t>
      </w:r>
      <w:r>
        <w:rPr>
          <w:rFonts w:hint="eastAsia" w:asciiTheme="minorEastAsia" w:hAnsiTheme="minorEastAsia" w:eastAsiaTheme="minorEastAsia"/>
          <w:sz w:val="32"/>
          <w:szCs w:val="32"/>
        </w:rPr>
        <w:t>。</w:t>
      </w:r>
    </w:p>
    <w:p>
      <w:pPr>
        <w:pStyle w:val="4"/>
        <w:rPr>
          <w:rFonts w:hAnsi="黑体"/>
          <w:b/>
          <w:sz w:val="32"/>
          <w:szCs w:val="32"/>
        </w:rPr>
      </w:pPr>
      <w:r>
        <w:rPr>
          <w:rFonts w:hint="eastAsia" w:hAnsi="黑体"/>
          <w:b/>
          <w:sz w:val="32"/>
          <w:szCs w:val="32"/>
        </w:rPr>
        <w:t>七、一般公共预算财政拨款三公经费支出决算情况说明</w:t>
      </w:r>
    </w:p>
    <w:p>
      <w:pPr>
        <w:pStyle w:val="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ind w:firstLine="800" w:firstLineChars="250"/>
        <w:rPr>
          <w:rFonts w:cs="黑体" w:asciiTheme="minorEastAsia" w:hAnsiTheme="minorEastAsia"/>
          <w:color w:val="000000"/>
          <w:kern w:val="0"/>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4"/>
        <w:rPr>
          <w:rFonts w:hAnsi="黑体"/>
          <w:b/>
          <w:sz w:val="32"/>
          <w:szCs w:val="32"/>
        </w:rPr>
      </w:pPr>
      <w:r>
        <w:rPr>
          <w:rFonts w:hint="eastAsia" w:hAnsi="黑体"/>
          <w:b/>
          <w:sz w:val="32"/>
          <w:szCs w:val="32"/>
        </w:rPr>
        <w:t>八、政府性基金预算收入支出决算情况</w:t>
      </w:r>
    </w:p>
    <w:p>
      <w:pPr>
        <w:pStyle w:val="4"/>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2019年度本单位无政府性基金收支</w:t>
      </w:r>
      <w:r>
        <w:rPr>
          <w:rFonts w:hint="eastAsia" w:asciiTheme="minorEastAsia" w:hAnsiTheme="minorEastAsia" w:eastAsiaTheme="minorEastAsia"/>
          <w:sz w:val="32"/>
          <w:szCs w:val="32"/>
          <w:lang w:eastAsia="zh-CN"/>
        </w:rPr>
        <w:t>。</w:t>
      </w:r>
    </w:p>
    <w:p>
      <w:pPr>
        <w:pStyle w:val="4"/>
        <w:numPr>
          <w:ilvl w:val="0"/>
          <w:numId w:val="3"/>
        </w:numPr>
        <w:rPr>
          <w:rFonts w:hint="eastAsia" w:hAnsi="黑体"/>
          <w:b/>
          <w:sz w:val="32"/>
          <w:szCs w:val="32"/>
        </w:rPr>
      </w:pPr>
      <w:r>
        <w:rPr>
          <w:rFonts w:hint="eastAsia" w:hAnsi="黑体"/>
          <w:b/>
          <w:sz w:val="32"/>
          <w:szCs w:val="32"/>
        </w:rPr>
        <w:t>关于2019年度预算绩效情况说明</w:t>
      </w:r>
    </w:p>
    <w:p>
      <w:pPr>
        <w:pStyle w:val="4"/>
        <w:numPr>
          <w:ilvl w:val="0"/>
          <w:numId w:val="0"/>
        </w:numPr>
        <w:rPr>
          <w:rFonts w:hint="default" w:hAnsi="黑体" w:eastAsia="黑体"/>
          <w:b/>
          <w:sz w:val="32"/>
          <w:szCs w:val="32"/>
          <w:lang w:val="en-US" w:eastAsia="zh-CN"/>
        </w:rPr>
      </w:pPr>
      <w:r>
        <w:rPr>
          <w:rFonts w:hint="eastAsia" w:hAnsi="黑体"/>
          <w:b/>
          <w:sz w:val="32"/>
          <w:szCs w:val="32"/>
          <w:lang w:val="en-US" w:eastAsia="zh-CN"/>
        </w:rPr>
        <w:t xml:space="preserve">     </w:t>
      </w:r>
      <w:r>
        <w:rPr>
          <w:rFonts w:hint="eastAsia" w:asciiTheme="minorEastAsia" w:hAnsiTheme="minorEastAsia" w:eastAsiaTheme="minorEastAsia" w:cstheme="minorBidi"/>
          <w:color w:val="auto"/>
          <w:kern w:val="2"/>
          <w:sz w:val="32"/>
          <w:szCs w:val="32"/>
          <w:lang w:val="en-US" w:eastAsia="zh-CN" w:bidi="ar-SA"/>
        </w:rPr>
        <w:t>已随省应急管理厅本级一同上报。</w:t>
      </w:r>
    </w:p>
    <w:p>
      <w:pPr>
        <w:pStyle w:val="4"/>
        <w:rPr>
          <w:rFonts w:hAnsi="黑体"/>
          <w:b/>
          <w:sz w:val="32"/>
          <w:szCs w:val="32"/>
        </w:rPr>
      </w:pPr>
      <w:r>
        <w:rPr>
          <w:rFonts w:hint="eastAsia" w:hAnsi="黑体"/>
          <w:b/>
          <w:sz w:val="32"/>
          <w:szCs w:val="32"/>
        </w:rPr>
        <w:t>十、其他重要事项情况说明</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（一）政府采购支出情况</w:t>
      </w:r>
    </w:p>
    <w:p>
      <w:pPr>
        <w:ind w:firstLine="640" w:firstLineChars="200"/>
        <w:rPr>
          <w:rFonts w:hint="eastAsia" w:cs="黑体" w:asciiTheme="minorEastAsia" w:hAnsiTheme="minorEastAsia" w:eastAsiaTheme="minorEastAsia"/>
          <w:i/>
          <w:color w:val="FF0000"/>
          <w:kern w:val="0"/>
          <w:sz w:val="32"/>
          <w:szCs w:val="32"/>
          <w:lang w:eastAsia="zh-CN"/>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ind w:left="638" w:leftChars="304" w:firstLine="0" w:firstLineChars="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val="en-US" w:eastAsia="zh-CN"/>
        </w:rPr>
        <w:t>二</w:t>
      </w:r>
      <w:r>
        <w:rPr>
          <w:rFonts w:hint="eastAsia" w:cs="黑体" w:asciiTheme="minorEastAsia" w:hAnsiTheme="minorEastAsia"/>
          <w:b/>
          <w:color w:val="000000"/>
          <w:kern w:val="0"/>
          <w:sz w:val="32"/>
          <w:szCs w:val="32"/>
        </w:rPr>
        <w:t>）国有资产占用情况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辆，</w:t>
      </w:r>
      <w:r>
        <w:rPr>
          <w:rFonts w:hint="eastAsia" w:cs="黑体" w:asciiTheme="minorEastAsia" w:hAnsiTheme="minorEastAsia"/>
          <w:color w:val="000000"/>
          <w:kern w:val="0"/>
          <w:sz w:val="32"/>
          <w:szCs w:val="32"/>
          <w:lang w:val="en-US" w:eastAsia="zh-CN"/>
        </w:rPr>
        <w:t>全部为</w:t>
      </w:r>
      <w:r>
        <w:rPr>
          <w:rFonts w:hint="eastAsia" w:cs="黑体" w:asciiTheme="minorEastAsia" w:hAnsiTheme="minorEastAsia"/>
          <w:color w:val="000000"/>
          <w:kern w:val="0"/>
          <w:sz w:val="32"/>
          <w:szCs w:val="32"/>
        </w:rPr>
        <w:t>其他用车</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其他用车主要是</w:t>
      </w:r>
      <w:r>
        <w:rPr>
          <w:rFonts w:hint="eastAsia" w:cs="黑体" w:asciiTheme="minorEastAsia" w:hAnsiTheme="minorEastAsia"/>
          <w:color w:val="000000"/>
          <w:kern w:val="0"/>
          <w:sz w:val="32"/>
          <w:szCs w:val="32"/>
          <w:lang w:val="en-US" w:eastAsia="zh-CN"/>
        </w:rPr>
        <w:t>通勤用2辆、报废未下账2辆</w:t>
      </w:r>
      <w:r>
        <w:rPr>
          <w:rFonts w:hint="eastAsia" w:cs="黑体" w:asciiTheme="minorEastAsia" w:hAnsiTheme="minorEastAsia"/>
          <w:color w:val="000000"/>
          <w:kern w:val="0"/>
          <w:sz w:val="32"/>
          <w:szCs w:val="32"/>
        </w:rPr>
        <w:t>；单位价值50万元以上通用设备</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4"/>
        <w:jc w:val="center"/>
        <w:rPr>
          <w:sz w:val="72"/>
          <w:szCs w:val="72"/>
        </w:rPr>
      </w:pPr>
    </w:p>
    <w:p>
      <w:pPr>
        <w:pStyle w:val="4"/>
        <w:jc w:val="center"/>
        <w:rPr>
          <w:sz w:val="72"/>
          <w:szCs w:val="72"/>
        </w:rPr>
      </w:pPr>
    </w:p>
    <w:p>
      <w:pPr>
        <w:pStyle w:val="4"/>
        <w:jc w:val="both"/>
        <w:rPr>
          <w:sz w:val="72"/>
          <w:szCs w:val="72"/>
        </w:rPr>
      </w:pPr>
    </w:p>
    <w:p>
      <w:pPr>
        <w:pStyle w:val="4"/>
        <w:jc w:val="center"/>
        <w:rPr>
          <w:sz w:val="72"/>
          <w:szCs w:val="72"/>
        </w:rPr>
      </w:pPr>
    </w:p>
    <w:p>
      <w:pPr>
        <w:jc w:val="center"/>
        <w:rPr>
          <w:rFonts w:hint="eastAsia"/>
          <w:sz w:val="72"/>
          <w:szCs w:val="72"/>
        </w:rPr>
      </w:pPr>
      <w:r>
        <w:rPr>
          <w:rFonts w:hint="eastAsia"/>
          <w:sz w:val="72"/>
          <w:szCs w:val="72"/>
        </w:rPr>
        <w:t>第四部分</w:t>
      </w:r>
    </w:p>
    <w:p>
      <w:pPr>
        <w:jc w:val="center"/>
        <w:rPr>
          <w:rFonts w:hint="eastAsia"/>
          <w:sz w:val="72"/>
          <w:szCs w:val="72"/>
        </w:rPr>
      </w:pPr>
    </w:p>
    <w:p>
      <w:pPr>
        <w:jc w:val="center"/>
        <w:rPr>
          <w:rFonts w:hint="eastAsia"/>
          <w:sz w:val="72"/>
          <w:szCs w:val="72"/>
        </w:rPr>
      </w:pPr>
      <w:r>
        <w:rPr>
          <w:rFonts w:hint="eastAsia"/>
          <w:sz w:val="72"/>
          <w:szCs w:val="7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4"/>
        <w:ind w:firstLine="320" w:firstLineChars="100"/>
        <w:rPr>
          <w:rFonts w:hint="eastAsia" w:asciiTheme="minorEastAsia" w:hAnsiTheme="minorEastAsia" w:eastAsiaTheme="minorEastAsia"/>
          <w:sz w:val="32"/>
          <w:szCs w:val="32"/>
        </w:rPr>
      </w:pPr>
      <w:r>
        <w:rPr>
          <w:rFonts w:hint="eastAsia" w:cs="黑体" w:asciiTheme="minorEastAsia" w:hAnsiTheme="minorEastAsia" w:eastAsiaTheme="minorEastAsia"/>
          <w:b/>
          <w:color w:val="000000"/>
          <w:kern w:val="0"/>
          <w:sz w:val="32"/>
          <w:szCs w:val="32"/>
          <w:lang w:val="en-US" w:eastAsia="zh-CN" w:bidi="ar-SA"/>
        </w:rPr>
        <w:t>一、一般公共预算拨款收入：</w:t>
      </w:r>
      <w:r>
        <w:rPr>
          <w:rFonts w:hint="eastAsia" w:asciiTheme="minorEastAsia" w:hAnsiTheme="minorEastAsia" w:eastAsiaTheme="minorEastAsia"/>
          <w:sz w:val="32"/>
          <w:szCs w:val="32"/>
        </w:rPr>
        <w:t>指中央财政当年拨付的资金。</w:t>
      </w:r>
    </w:p>
    <w:p>
      <w:pPr>
        <w:ind w:firstLine="320" w:firstLineChars="100"/>
        <w:rPr>
          <w:rFonts w:hint="eastAsia" w:cs="黑体" w:asciiTheme="minorEastAsia" w:hAnsiTheme="minorEastAsia"/>
          <w:color w:val="000000"/>
          <w:kern w:val="0"/>
          <w:sz w:val="32"/>
          <w:szCs w:val="32"/>
        </w:rPr>
      </w:pPr>
      <w:r>
        <w:rPr>
          <w:rFonts w:hint="eastAsia" w:cs="黑体" w:asciiTheme="minorEastAsia" w:hAnsiTheme="minorEastAsia" w:eastAsiaTheme="minorEastAsia"/>
          <w:b/>
          <w:color w:val="000000"/>
          <w:kern w:val="0"/>
          <w:sz w:val="32"/>
          <w:szCs w:val="32"/>
          <w:lang w:val="en-US" w:eastAsia="zh-CN" w:bidi="ar-SA"/>
        </w:rPr>
        <w:t>二、事业收入：</w:t>
      </w:r>
      <w:r>
        <w:rPr>
          <w:rFonts w:hint="eastAsia" w:cs="黑体" w:asciiTheme="minorEastAsia" w:hAnsiTheme="minorEastAsia"/>
          <w:color w:val="000000"/>
          <w:kern w:val="0"/>
          <w:sz w:val="32"/>
          <w:szCs w:val="32"/>
        </w:rPr>
        <w:t>指事业单位开展专业业务活动及辅助活动所取得的收入。</w:t>
      </w:r>
    </w:p>
    <w:p>
      <w:pPr>
        <w:ind w:firstLine="320" w:firstLineChars="100"/>
        <w:rPr>
          <w:rFonts w:hint="eastAsia" w:cs="黑体" w:asciiTheme="minorEastAsia" w:hAnsiTheme="minorEastAsia"/>
          <w:color w:val="000000"/>
          <w:kern w:val="0"/>
          <w:sz w:val="32"/>
          <w:szCs w:val="32"/>
        </w:rPr>
      </w:pPr>
      <w:r>
        <w:rPr>
          <w:rFonts w:hint="eastAsia" w:cs="黑体" w:asciiTheme="minorEastAsia" w:hAnsiTheme="minorEastAsia" w:eastAsiaTheme="minorEastAsia"/>
          <w:b/>
          <w:color w:val="000000"/>
          <w:kern w:val="0"/>
          <w:sz w:val="32"/>
          <w:szCs w:val="32"/>
          <w:lang w:val="en-US" w:eastAsia="zh-CN" w:bidi="ar-SA"/>
        </w:rPr>
        <w:t>三、其他收入：</w:t>
      </w:r>
      <w:r>
        <w:rPr>
          <w:rFonts w:hint="eastAsia" w:cs="黑体" w:asciiTheme="minorEastAsia" w:hAnsiTheme="minorEastAsia"/>
          <w:color w:val="000000"/>
          <w:kern w:val="0"/>
          <w:sz w:val="32"/>
          <w:szCs w:val="32"/>
        </w:rPr>
        <w:t>指除上述“一般公共预算拨款收入”、“事业收入”、“事业单位经营收入”等以外的收入。主要是</w:t>
      </w:r>
      <w:r>
        <w:rPr>
          <w:rFonts w:hint="eastAsia" w:cs="黑体" w:asciiTheme="minorEastAsia" w:hAnsiTheme="minorEastAsia"/>
          <w:color w:val="000000"/>
          <w:kern w:val="0"/>
          <w:sz w:val="32"/>
          <w:szCs w:val="32"/>
          <w:lang w:val="en-US" w:eastAsia="zh-CN"/>
        </w:rPr>
        <w:t>贷款债务收入、</w:t>
      </w:r>
      <w:r>
        <w:rPr>
          <w:rFonts w:hint="eastAsia" w:cs="黑体" w:asciiTheme="minorEastAsia" w:hAnsiTheme="minorEastAsia"/>
          <w:color w:val="000000"/>
          <w:kern w:val="0"/>
          <w:sz w:val="32"/>
          <w:szCs w:val="32"/>
        </w:rPr>
        <w:t>存款利息收入等。</w:t>
      </w:r>
    </w:p>
    <w:p>
      <w:pPr>
        <w:ind w:firstLine="320" w:firstLineChars="100"/>
        <w:rPr>
          <w:rFonts w:hint="eastAsia" w:cs="黑体" w:asciiTheme="minorEastAsia" w:hAnsiTheme="minorEastAsia"/>
          <w:color w:val="000000"/>
          <w:kern w:val="0"/>
          <w:sz w:val="32"/>
          <w:szCs w:val="32"/>
        </w:rPr>
      </w:pPr>
      <w:r>
        <w:rPr>
          <w:rFonts w:hint="eastAsia" w:cs="黑体" w:asciiTheme="minorEastAsia" w:hAnsiTheme="minorEastAsia" w:eastAsiaTheme="minorEastAsia"/>
          <w:b/>
          <w:color w:val="000000"/>
          <w:kern w:val="0"/>
          <w:sz w:val="32"/>
          <w:szCs w:val="32"/>
          <w:lang w:val="en-US" w:eastAsia="zh-CN" w:bidi="ar-SA"/>
        </w:rPr>
        <w:t>四、用事业基金弥补收支差额：</w:t>
      </w:r>
      <w:r>
        <w:rPr>
          <w:rFonts w:hint="eastAsia" w:cs="黑体" w:asciiTheme="minorEastAsia" w:hAnsiTheme="minorEastAsia"/>
          <w:color w:val="000000"/>
          <w:kern w:val="0"/>
          <w:sz w:val="32"/>
          <w:szCs w:val="32"/>
        </w:rPr>
        <w:t>指事业单位在当年的一般公共预算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320" w:firstLineChars="100"/>
        <w:rPr>
          <w:rFonts w:hint="eastAsia" w:cs="黑体" w:asciiTheme="minorEastAsia" w:hAnsiTheme="minorEastAsia"/>
          <w:color w:val="000000"/>
          <w:kern w:val="0"/>
          <w:sz w:val="32"/>
          <w:szCs w:val="32"/>
        </w:rPr>
      </w:pPr>
      <w:r>
        <w:rPr>
          <w:rFonts w:hint="eastAsia" w:cs="黑体" w:asciiTheme="minorEastAsia" w:hAnsiTheme="minorEastAsia" w:eastAsiaTheme="minorEastAsia"/>
          <w:b/>
          <w:color w:val="000000"/>
          <w:kern w:val="0"/>
          <w:sz w:val="32"/>
          <w:szCs w:val="32"/>
          <w:lang w:val="en-US" w:eastAsia="zh-CN" w:bidi="ar-SA"/>
        </w:rPr>
        <w:t>五、年初结转和结余：</w:t>
      </w:r>
      <w:r>
        <w:rPr>
          <w:rFonts w:hint="eastAsia" w:cs="黑体" w:asciiTheme="minorEastAsia" w:hAnsiTheme="minorEastAsia"/>
          <w:color w:val="000000"/>
          <w:kern w:val="0"/>
          <w:sz w:val="32"/>
          <w:szCs w:val="32"/>
        </w:rPr>
        <w:t>指以前年度安排、结转到本年仍按原规定用途继续使用的资金。</w:t>
      </w:r>
    </w:p>
    <w:p>
      <w:pPr>
        <w:ind w:firstLine="320" w:firstLineChars="100"/>
        <w:rPr>
          <w:rFonts w:hint="eastAsia" w:cs="黑体" w:asciiTheme="minorEastAsia" w:hAnsiTheme="minorEastAsia"/>
          <w:color w:val="000000"/>
          <w:kern w:val="0"/>
          <w:sz w:val="32"/>
          <w:szCs w:val="32"/>
        </w:rPr>
      </w:pPr>
      <w:r>
        <w:rPr>
          <w:rFonts w:hint="eastAsia" w:cs="黑体" w:asciiTheme="minorEastAsia" w:hAnsiTheme="minorEastAsia" w:eastAsiaTheme="minorEastAsia"/>
          <w:b/>
          <w:color w:val="000000"/>
          <w:kern w:val="0"/>
          <w:sz w:val="32"/>
          <w:szCs w:val="32"/>
          <w:lang w:val="en-US" w:eastAsia="zh-CN" w:bidi="ar-SA"/>
        </w:rPr>
        <w:t>六、教育（类）职业教育（款）</w:t>
      </w:r>
      <w:r>
        <w:rPr>
          <w:rFonts w:hint="eastAsia" w:cs="黑体" w:asciiTheme="minorEastAsia" w:hAnsiTheme="minorEastAsia"/>
          <w:b/>
          <w:color w:val="000000"/>
          <w:kern w:val="0"/>
          <w:sz w:val="32"/>
          <w:szCs w:val="32"/>
          <w:lang w:val="en-US" w:eastAsia="zh-CN" w:bidi="ar-SA"/>
        </w:rPr>
        <w:t>中</w:t>
      </w:r>
      <w:r>
        <w:rPr>
          <w:rFonts w:hint="eastAsia" w:cs="黑体" w:asciiTheme="minorEastAsia" w:hAnsiTheme="minorEastAsia" w:eastAsiaTheme="minorEastAsia"/>
          <w:b/>
          <w:color w:val="000000"/>
          <w:kern w:val="0"/>
          <w:sz w:val="32"/>
          <w:szCs w:val="32"/>
          <w:lang w:val="en-US" w:eastAsia="zh-CN" w:bidi="ar-SA"/>
        </w:rPr>
        <w:t>等职业教育（项）：</w:t>
      </w:r>
      <w:r>
        <w:rPr>
          <w:rFonts w:hint="eastAsia" w:cs="黑体" w:asciiTheme="minorEastAsia" w:hAnsiTheme="minorEastAsia"/>
          <w:color w:val="000000"/>
          <w:kern w:val="0"/>
          <w:sz w:val="32"/>
          <w:szCs w:val="32"/>
        </w:rPr>
        <w:t>指</w:t>
      </w:r>
      <w:r>
        <w:rPr>
          <w:rFonts w:hint="eastAsia" w:cs="黑体" w:asciiTheme="minorEastAsia" w:hAnsiTheme="minorEastAsia"/>
          <w:color w:val="000000"/>
          <w:kern w:val="0"/>
          <w:sz w:val="32"/>
          <w:szCs w:val="32"/>
          <w:lang w:val="en-US" w:eastAsia="zh-CN"/>
        </w:rPr>
        <w:t>湖南安全技术职业学院</w:t>
      </w:r>
      <w:r>
        <w:rPr>
          <w:rFonts w:hint="eastAsia" w:cs="黑体" w:asciiTheme="minorEastAsia" w:hAnsiTheme="minorEastAsia"/>
          <w:color w:val="000000"/>
          <w:kern w:val="0"/>
          <w:sz w:val="32"/>
          <w:szCs w:val="32"/>
        </w:rPr>
        <w:t>的</w:t>
      </w:r>
      <w:r>
        <w:rPr>
          <w:rFonts w:hint="eastAsia" w:cs="黑体" w:asciiTheme="minorEastAsia" w:hAnsiTheme="minorEastAsia"/>
          <w:color w:val="000000"/>
          <w:kern w:val="0"/>
          <w:sz w:val="32"/>
          <w:szCs w:val="32"/>
          <w:lang w:val="en-US" w:eastAsia="zh-CN"/>
        </w:rPr>
        <w:t>中专教育</w:t>
      </w:r>
      <w:r>
        <w:rPr>
          <w:rFonts w:hint="eastAsia" w:cs="黑体" w:asciiTheme="minorEastAsia" w:hAnsiTheme="minorEastAsia"/>
          <w:color w:val="000000"/>
          <w:kern w:val="0"/>
          <w:sz w:val="32"/>
          <w:szCs w:val="32"/>
        </w:rPr>
        <w:t>经费补助支出。</w:t>
      </w:r>
    </w:p>
    <w:p>
      <w:pPr>
        <w:ind w:firstLine="320" w:firstLineChars="100"/>
        <w:rPr>
          <w:rFonts w:hint="eastAsia" w:cs="黑体" w:asciiTheme="minorEastAsia" w:hAnsiTheme="minorEastAsia"/>
          <w:color w:val="000000"/>
          <w:kern w:val="0"/>
          <w:sz w:val="32"/>
          <w:szCs w:val="32"/>
        </w:rPr>
      </w:pPr>
      <w:r>
        <w:rPr>
          <w:rFonts w:hint="eastAsia" w:cs="黑体" w:asciiTheme="minorEastAsia" w:hAnsiTheme="minorEastAsia"/>
          <w:b/>
          <w:color w:val="000000"/>
          <w:kern w:val="0"/>
          <w:sz w:val="32"/>
          <w:szCs w:val="32"/>
          <w:lang w:val="en-US" w:eastAsia="zh-CN" w:bidi="ar-SA"/>
        </w:rPr>
        <w:t>七</w:t>
      </w:r>
      <w:r>
        <w:rPr>
          <w:rFonts w:hint="eastAsia" w:cs="黑体" w:asciiTheme="minorEastAsia" w:hAnsiTheme="minorEastAsia" w:eastAsiaTheme="minorEastAsia"/>
          <w:b/>
          <w:color w:val="000000"/>
          <w:kern w:val="0"/>
          <w:sz w:val="32"/>
          <w:szCs w:val="32"/>
          <w:lang w:val="en-US" w:eastAsia="zh-CN" w:bidi="ar-SA"/>
        </w:rPr>
        <w:t>、教育（类）职业教育（款）高等职业教育（项）：</w:t>
      </w:r>
      <w:r>
        <w:rPr>
          <w:rFonts w:hint="eastAsia" w:cs="黑体" w:asciiTheme="minorEastAsia" w:hAnsiTheme="minorEastAsia"/>
          <w:color w:val="000000"/>
          <w:kern w:val="0"/>
          <w:sz w:val="32"/>
          <w:szCs w:val="32"/>
        </w:rPr>
        <w:t>指</w:t>
      </w:r>
      <w:r>
        <w:rPr>
          <w:rFonts w:hint="eastAsia" w:cs="黑体" w:asciiTheme="minorEastAsia" w:hAnsiTheme="minorEastAsia"/>
          <w:color w:val="000000"/>
          <w:kern w:val="0"/>
          <w:sz w:val="32"/>
          <w:szCs w:val="32"/>
          <w:lang w:val="en-US" w:eastAsia="zh-CN"/>
        </w:rPr>
        <w:t>湖南安全技术职业学院</w:t>
      </w:r>
      <w:r>
        <w:rPr>
          <w:rFonts w:hint="eastAsia" w:cs="黑体" w:asciiTheme="minorEastAsia" w:hAnsiTheme="minorEastAsia"/>
          <w:color w:val="000000"/>
          <w:kern w:val="0"/>
          <w:sz w:val="32"/>
          <w:szCs w:val="32"/>
        </w:rPr>
        <w:t>的</w:t>
      </w:r>
      <w:r>
        <w:rPr>
          <w:rFonts w:hint="eastAsia" w:cs="黑体" w:asciiTheme="minorEastAsia" w:hAnsiTheme="minorEastAsia"/>
          <w:color w:val="000000"/>
          <w:kern w:val="0"/>
          <w:sz w:val="32"/>
          <w:szCs w:val="32"/>
          <w:lang w:val="en-US" w:eastAsia="zh-CN"/>
        </w:rPr>
        <w:t>高等职业教育</w:t>
      </w:r>
      <w:r>
        <w:rPr>
          <w:rFonts w:hint="eastAsia" w:cs="黑体" w:asciiTheme="minorEastAsia" w:hAnsiTheme="minorEastAsia"/>
          <w:color w:val="000000"/>
          <w:kern w:val="0"/>
          <w:sz w:val="32"/>
          <w:szCs w:val="32"/>
        </w:rPr>
        <w:t>经费补助支出。</w:t>
      </w:r>
    </w:p>
    <w:p>
      <w:pPr>
        <w:ind w:firstLine="320" w:firstLineChars="100"/>
        <w:rPr>
          <w:rFonts w:hint="eastAsia" w:cs="黑体" w:asciiTheme="minorEastAsia" w:hAnsiTheme="minorEastAsia"/>
          <w:color w:val="000000"/>
          <w:kern w:val="0"/>
          <w:sz w:val="32"/>
          <w:szCs w:val="32"/>
        </w:rPr>
      </w:pPr>
      <w:r>
        <w:rPr>
          <w:rFonts w:hint="eastAsia" w:cs="黑体" w:asciiTheme="minorEastAsia" w:hAnsiTheme="minorEastAsia"/>
          <w:b/>
          <w:color w:val="000000"/>
          <w:kern w:val="0"/>
          <w:sz w:val="32"/>
          <w:szCs w:val="32"/>
          <w:lang w:val="en-US" w:eastAsia="zh-CN" w:bidi="ar-SA"/>
        </w:rPr>
        <w:t>八、文化旅游体育与传媒支出（类）其他文化体育与传媒支出（款）其他文化体育与传媒支出（项）：</w:t>
      </w:r>
      <w:r>
        <w:rPr>
          <w:rFonts w:hint="eastAsia" w:cs="黑体" w:asciiTheme="minorEastAsia" w:hAnsiTheme="minorEastAsia"/>
          <w:color w:val="000000"/>
          <w:kern w:val="0"/>
          <w:sz w:val="32"/>
          <w:szCs w:val="32"/>
        </w:rPr>
        <w:t>指</w:t>
      </w:r>
      <w:r>
        <w:rPr>
          <w:rFonts w:hint="eastAsia" w:cs="黑体" w:asciiTheme="minorEastAsia" w:hAnsiTheme="minorEastAsia"/>
          <w:color w:val="000000"/>
          <w:kern w:val="0"/>
          <w:sz w:val="32"/>
          <w:szCs w:val="32"/>
          <w:lang w:val="en-US" w:eastAsia="zh-CN"/>
        </w:rPr>
        <w:t>湖南安全技术职业学院</w:t>
      </w:r>
      <w:r>
        <w:rPr>
          <w:rFonts w:hint="eastAsia" w:cs="黑体" w:asciiTheme="minorEastAsia" w:hAnsiTheme="minorEastAsia"/>
          <w:color w:val="000000"/>
          <w:kern w:val="0"/>
          <w:sz w:val="32"/>
          <w:szCs w:val="32"/>
        </w:rPr>
        <w:t>用于2018年文化事业建设费的支出。</w:t>
      </w:r>
    </w:p>
    <w:p>
      <w:pPr>
        <w:pStyle w:val="4"/>
        <w:numPr>
          <w:ilvl w:val="0"/>
          <w:numId w:val="0"/>
        </w:numPr>
        <w:ind w:firstLine="320" w:firstLineChars="100"/>
        <w:rPr>
          <w:rFonts w:hint="eastAsia" w:cs="黑体" w:asciiTheme="minorEastAsia" w:hAnsiTheme="minorEastAsia" w:eastAsiaTheme="minorEastAsia"/>
          <w:b/>
          <w:color w:val="000000"/>
          <w:kern w:val="0"/>
          <w:sz w:val="32"/>
          <w:szCs w:val="32"/>
          <w:lang w:val="en-US" w:eastAsia="zh-CN" w:bidi="ar-SA"/>
        </w:rPr>
      </w:pPr>
      <w:r>
        <w:rPr>
          <w:rFonts w:hint="eastAsia" w:cs="黑体" w:asciiTheme="minorEastAsia" w:hAnsiTheme="minorEastAsia" w:eastAsiaTheme="minorEastAsia"/>
          <w:b/>
          <w:color w:val="000000"/>
          <w:kern w:val="0"/>
          <w:sz w:val="32"/>
          <w:szCs w:val="32"/>
          <w:lang w:val="en-US" w:eastAsia="zh-CN" w:bidi="ar-SA"/>
        </w:rPr>
        <w:t>九、</w:t>
      </w:r>
      <w:r>
        <w:rPr>
          <w:rFonts w:hint="default" w:cs="黑体" w:asciiTheme="minorEastAsia" w:hAnsiTheme="minorEastAsia" w:eastAsiaTheme="minorEastAsia"/>
          <w:b/>
          <w:color w:val="000000"/>
          <w:kern w:val="0"/>
          <w:sz w:val="32"/>
          <w:szCs w:val="32"/>
          <w:lang w:val="en-US" w:eastAsia="zh-CN" w:bidi="ar-SA"/>
        </w:rPr>
        <w:t>社会保障和就业（类）就业补助（款）就业创业服务补贴（项）</w:t>
      </w:r>
      <w:r>
        <w:rPr>
          <w:rFonts w:hint="eastAsia" w:cs="黑体" w:asciiTheme="minorEastAsia" w:hAnsiTheme="minorEastAsia" w:eastAsiaTheme="minorEastAsia"/>
          <w:b/>
          <w:color w:val="000000"/>
          <w:kern w:val="0"/>
          <w:sz w:val="32"/>
          <w:szCs w:val="32"/>
          <w:lang w:val="en-US" w:eastAsia="zh-CN" w:bidi="ar-SA"/>
        </w:rPr>
        <w:t>：</w:t>
      </w:r>
    </w:p>
    <w:p>
      <w:pPr>
        <w:pStyle w:val="4"/>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指湖南安全技术职业学院2017年和2018年</w:t>
      </w:r>
      <w:r>
        <w:rPr>
          <w:rFonts w:hint="eastAsia" w:asciiTheme="minorEastAsia" w:hAnsiTheme="minorEastAsia" w:eastAsiaTheme="minorEastAsia"/>
          <w:sz w:val="32"/>
          <w:szCs w:val="32"/>
        </w:rPr>
        <w:t>校园招聘活动一次性补助</w:t>
      </w:r>
      <w:r>
        <w:rPr>
          <w:rFonts w:hint="eastAsia" w:asciiTheme="minorEastAsia" w:hAnsiTheme="minorEastAsia" w:eastAsiaTheme="minorEastAsia"/>
          <w:sz w:val="32"/>
          <w:szCs w:val="32"/>
          <w:lang w:val="en-US" w:eastAsia="zh-CN"/>
        </w:rPr>
        <w:t>。</w:t>
      </w:r>
    </w:p>
    <w:p>
      <w:pPr>
        <w:pStyle w:val="4"/>
        <w:numPr>
          <w:ilvl w:val="0"/>
          <w:numId w:val="0"/>
        </w:numPr>
        <w:ind w:firstLine="320" w:firstLineChars="100"/>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b/>
          <w:color w:val="000000"/>
          <w:kern w:val="0"/>
          <w:sz w:val="32"/>
          <w:szCs w:val="32"/>
          <w:lang w:val="en-US" w:eastAsia="zh-CN" w:bidi="ar-SA"/>
        </w:rPr>
        <w:t>十、资源勘探信息等支出（类）资源勘探开发（款）其他资源勘探业支出（项）：</w:t>
      </w:r>
      <w:r>
        <w:rPr>
          <w:rFonts w:hint="eastAsia" w:cs="黑体" w:asciiTheme="minorEastAsia" w:hAnsiTheme="minorEastAsia" w:eastAsiaTheme="minorEastAsia"/>
          <w:color w:val="000000"/>
          <w:kern w:val="0"/>
          <w:sz w:val="32"/>
          <w:szCs w:val="32"/>
          <w:lang w:val="en-US" w:eastAsia="zh-CN" w:bidi="ar-SA"/>
        </w:rPr>
        <w:t>指湖南安全技术职业学院用于开展资源勘探、安全生产专项省级等项目支出。</w:t>
      </w:r>
    </w:p>
    <w:p>
      <w:pPr>
        <w:pStyle w:val="4"/>
        <w:numPr>
          <w:ilvl w:val="0"/>
          <w:numId w:val="0"/>
        </w:numPr>
        <w:rPr>
          <w:rFonts w:hint="eastAsia" w:asciiTheme="minorEastAsia" w:hAnsiTheme="minorEastAsia" w:eastAsiaTheme="minorEastAsia"/>
          <w:sz w:val="32"/>
          <w:szCs w:val="32"/>
          <w:lang w:eastAsia="zh-CN"/>
        </w:rPr>
      </w:pPr>
      <w:r>
        <w:rPr>
          <w:rFonts w:hint="eastAsia" w:cs="黑体" w:asciiTheme="minorEastAsia" w:hAnsiTheme="minorEastAsia" w:eastAsiaTheme="minorEastAsia"/>
          <w:b/>
          <w:color w:val="000000"/>
          <w:kern w:val="0"/>
          <w:sz w:val="32"/>
          <w:szCs w:val="32"/>
          <w:lang w:val="en-US" w:eastAsia="zh-CN" w:bidi="ar-SA"/>
        </w:rPr>
        <w:t>十一、资源勘探信息等支出（类）其他资源勘探信息等支出（款）技术改造支出（项）：</w:t>
      </w:r>
      <w:r>
        <w:rPr>
          <w:rFonts w:hint="eastAsia" w:cs="黑体" w:asciiTheme="minorEastAsia" w:hAnsiTheme="minorEastAsia" w:eastAsiaTheme="minorEastAsia"/>
          <w:color w:val="000000"/>
          <w:kern w:val="0"/>
          <w:sz w:val="32"/>
          <w:szCs w:val="32"/>
          <w:lang w:val="en-US" w:eastAsia="zh-CN" w:bidi="ar-SA"/>
        </w:rPr>
        <w:t>指湖南安全技术职业学院用于开展传统产业发展保护专项（省级支出）的科研专项项目支出。</w:t>
      </w:r>
    </w:p>
    <w:p>
      <w:pPr>
        <w:pStyle w:val="4"/>
        <w:numPr>
          <w:ilvl w:val="0"/>
          <w:numId w:val="0"/>
        </w:numPr>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rPr>
        <w:t>十二、</w:t>
      </w:r>
      <w:r>
        <w:rPr>
          <w:rFonts w:hint="eastAsia" w:cs="黑体" w:asciiTheme="minorEastAsia" w:hAnsiTheme="minorEastAsia"/>
          <w:color w:val="000000"/>
          <w:kern w:val="0"/>
          <w:sz w:val="32"/>
          <w:szCs w:val="32"/>
        </w:rPr>
        <w:t>住房保障支出（类）住房改革支出（款）住房公积金（项）：</w:t>
      </w:r>
      <w:r>
        <w:rPr>
          <w:rFonts w:hint="eastAsia" w:cs="黑体" w:asciiTheme="minorEastAsia" w:hAnsiTheme="minorEastAsia" w:eastAsiaTheme="minorEastAsia"/>
          <w:color w:val="000000"/>
          <w:kern w:val="0"/>
          <w:sz w:val="32"/>
          <w:szCs w:val="32"/>
          <w:lang w:val="en-US" w:eastAsia="zh-CN" w:bidi="ar-SA"/>
        </w:rPr>
        <w:t>反映行政事业单位按人力资源和社会保障部、财政部规定的基本工资和津贴补贴以及规定比例为职工缴纳的住房公积金。</w:t>
      </w:r>
    </w:p>
    <w:p>
      <w:pPr>
        <w:pStyle w:val="4"/>
        <w:numPr>
          <w:ilvl w:val="0"/>
          <w:numId w:val="0"/>
        </w:numPr>
        <w:rPr>
          <w:rFonts w:hint="eastAsia" w:asciiTheme="minorEastAsia" w:hAnsiTheme="minorEastAsia" w:eastAsiaTheme="minorEastAsia"/>
          <w:sz w:val="32"/>
          <w:szCs w:val="32"/>
          <w:lang w:eastAsia="zh-CN"/>
        </w:rPr>
      </w:pPr>
      <w:r>
        <w:rPr>
          <w:rFonts w:hint="eastAsia" w:cs="黑体" w:asciiTheme="minorEastAsia" w:hAnsiTheme="minorEastAsia"/>
          <w:color w:val="000000"/>
          <w:kern w:val="0"/>
          <w:sz w:val="32"/>
          <w:szCs w:val="32"/>
          <w:lang w:val="en-US" w:eastAsia="zh-CN"/>
        </w:rPr>
        <w:t>十三、灾害防治及应急管理（类）应急管理事务（款）安全监管（项）：</w:t>
      </w:r>
      <w:r>
        <w:rPr>
          <w:rFonts w:hint="eastAsia" w:cs="黑体" w:asciiTheme="minorEastAsia" w:hAnsiTheme="minorEastAsia" w:eastAsiaTheme="minorEastAsia"/>
          <w:color w:val="000000"/>
          <w:kern w:val="0"/>
          <w:sz w:val="32"/>
          <w:szCs w:val="32"/>
          <w:lang w:val="en-US" w:eastAsia="zh-CN" w:bidi="ar-SA"/>
        </w:rPr>
        <w:t>指湖南安全技术职业学院用于开展安全监管实训室建设、基建项目等项目支出。</w:t>
      </w:r>
    </w:p>
    <w:p>
      <w:pPr>
        <w:pStyle w:val="4"/>
        <w:numPr>
          <w:ilvl w:val="0"/>
          <w:numId w:val="0"/>
        </w:numPr>
        <w:rPr>
          <w:rFonts w:hint="eastAsia" w:asciiTheme="minorEastAsia" w:hAnsiTheme="minorEastAsia" w:eastAsiaTheme="minorEastAsia"/>
          <w:sz w:val="32"/>
          <w:szCs w:val="32"/>
          <w:lang w:eastAsia="zh-CN"/>
        </w:rPr>
      </w:pPr>
      <w:r>
        <w:rPr>
          <w:rFonts w:hint="eastAsia" w:cs="黑体" w:asciiTheme="minorEastAsia" w:hAnsiTheme="minorEastAsia"/>
          <w:color w:val="000000"/>
          <w:kern w:val="0"/>
          <w:sz w:val="32"/>
          <w:szCs w:val="32"/>
          <w:lang w:val="en-US" w:eastAsia="zh-CN"/>
        </w:rPr>
        <w:t>十四、灾害防治及应急管理（类）应急管理事务（款）应急管理（项）：</w:t>
      </w:r>
      <w:r>
        <w:rPr>
          <w:rFonts w:hint="eastAsia" w:cs="黑体" w:asciiTheme="minorEastAsia" w:hAnsiTheme="minorEastAsia" w:eastAsiaTheme="minorEastAsia"/>
          <w:color w:val="000000"/>
          <w:kern w:val="0"/>
          <w:sz w:val="32"/>
          <w:szCs w:val="32"/>
          <w:lang w:val="en-US" w:eastAsia="zh-CN" w:bidi="ar-SA"/>
        </w:rPr>
        <w:t>指湖南安全技术职业学院受托开展财政干部教育培训项目经费支出。</w:t>
      </w:r>
    </w:p>
    <w:p>
      <w:pPr>
        <w:pStyle w:val="4"/>
        <w:numPr>
          <w:ilvl w:val="0"/>
          <w:numId w:val="0"/>
        </w:numPr>
        <w:rPr>
          <w:rFonts w:hint="eastAsia" w:asciiTheme="minorEastAsia" w:hAnsiTheme="minorEastAsia" w:eastAsiaTheme="minorEastAsia"/>
          <w:sz w:val="32"/>
          <w:szCs w:val="32"/>
          <w:lang w:eastAsia="zh-CN"/>
        </w:rPr>
      </w:pPr>
      <w:r>
        <w:rPr>
          <w:rFonts w:hint="eastAsia" w:cs="黑体" w:asciiTheme="minorEastAsia" w:hAnsiTheme="minorEastAsia"/>
          <w:color w:val="000000"/>
          <w:kern w:val="0"/>
          <w:sz w:val="32"/>
          <w:szCs w:val="32"/>
          <w:lang w:val="en-US" w:eastAsia="zh-CN"/>
        </w:rPr>
        <w:t>十五、灾害防治及应急管理（类）应急管理事务（款）其他应急管理支出（项）：</w:t>
      </w:r>
      <w:r>
        <w:rPr>
          <w:rFonts w:hint="eastAsia" w:cs="黑体" w:asciiTheme="minorEastAsia" w:hAnsiTheme="minorEastAsia" w:eastAsiaTheme="minorEastAsia"/>
          <w:color w:val="000000"/>
          <w:kern w:val="0"/>
          <w:sz w:val="32"/>
          <w:szCs w:val="32"/>
          <w:lang w:val="en-US" w:eastAsia="zh-CN" w:bidi="ar-SA"/>
        </w:rPr>
        <w:t>指湖南安全技术职业学院用于开展安全生产预防及应急专项建设、竞赛等项目支出。</w:t>
      </w:r>
    </w:p>
    <w:p>
      <w:pPr>
        <w:rPr>
          <w:rFonts w:hint="eastAsia" w:cs="黑体" w:asciiTheme="minorEastAsia" w:hAnsiTheme="minorEastAsia"/>
          <w:color w:val="000000"/>
          <w:kern w:val="0"/>
          <w:sz w:val="32"/>
          <w:szCs w:val="32"/>
        </w:rPr>
      </w:pPr>
      <w:r>
        <w:rPr>
          <w:rFonts w:hint="eastAsia" w:eastAsia="黑体" w:cs="黑体" w:asciiTheme="minorEastAsia" w:hAnsiTheme="minorEastAsia"/>
          <w:color w:val="000000"/>
          <w:kern w:val="0"/>
          <w:sz w:val="32"/>
          <w:szCs w:val="32"/>
          <w:lang w:val="en-US" w:eastAsia="zh-CN" w:bidi="ar-SA"/>
        </w:rPr>
        <w:t>十六、年末结转和结余：</w:t>
      </w:r>
      <w:r>
        <w:rPr>
          <w:rFonts w:hint="eastAsia" w:cs="黑体" w:asciiTheme="minorEastAsia" w:hAnsiTheme="minorEastAsia"/>
          <w:color w:val="000000"/>
          <w:kern w:val="0"/>
          <w:sz w:val="32"/>
          <w:szCs w:val="32"/>
        </w:rPr>
        <w:t xml:space="preserve">指单位本年度或以前年度预算安排、因客观条件发生变化未全部执行或未执行，结转到以后年度继续使用的资金，或项目已完成等产生的结余资金。 </w:t>
      </w:r>
    </w:p>
    <w:p>
      <w:pPr>
        <w:rPr>
          <w:rFonts w:hint="eastAsia" w:cs="黑体" w:asciiTheme="minorEastAsia" w:hAnsiTheme="minorEastAsia"/>
          <w:color w:val="000000"/>
          <w:kern w:val="0"/>
          <w:sz w:val="32"/>
          <w:szCs w:val="32"/>
        </w:rPr>
      </w:pPr>
      <w:r>
        <w:rPr>
          <w:rFonts w:hint="eastAsia" w:eastAsia="黑体" w:cs="黑体" w:asciiTheme="minorEastAsia" w:hAnsiTheme="minorEastAsia"/>
          <w:color w:val="000000"/>
          <w:kern w:val="0"/>
          <w:sz w:val="32"/>
          <w:szCs w:val="32"/>
          <w:lang w:val="en-US" w:eastAsia="zh-CN" w:bidi="ar-SA"/>
        </w:rPr>
        <w:t>十七、基本支出：</w:t>
      </w:r>
      <w:r>
        <w:rPr>
          <w:rFonts w:hint="eastAsia" w:cs="黑体" w:asciiTheme="minorEastAsia" w:hAnsiTheme="minorEastAsia"/>
          <w:color w:val="000000"/>
          <w:kern w:val="0"/>
          <w:sz w:val="32"/>
          <w:szCs w:val="32"/>
        </w:rPr>
        <w:t>指为保障机构正常运转、完成日常工作任务而发生的人员支出和公用支出。</w:t>
      </w:r>
    </w:p>
    <w:p>
      <w:pPr>
        <w:rPr>
          <w:rFonts w:hint="eastAsia" w:cs="黑体" w:asciiTheme="minorEastAsia" w:hAnsiTheme="minorEastAsia"/>
          <w:color w:val="000000"/>
          <w:kern w:val="0"/>
          <w:sz w:val="32"/>
          <w:szCs w:val="32"/>
        </w:rPr>
      </w:pPr>
      <w:r>
        <w:rPr>
          <w:rFonts w:hint="eastAsia" w:eastAsia="黑体" w:cs="黑体" w:asciiTheme="minorEastAsia" w:hAnsiTheme="minorEastAsia"/>
          <w:color w:val="000000"/>
          <w:kern w:val="0"/>
          <w:sz w:val="32"/>
          <w:szCs w:val="32"/>
          <w:lang w:val="en-US" w:eastAsia="zh-CN" w:bidi="ar-SA"/>
        </w:rPr>
        <w:t>十八、项目支出：</w:t>
      </w:r>
      <w:r>
        <w:rPr>
          <w:rFonts w:hint="eastAsia" w:cs="黑体" w:asciiTheme="minorEastAsia" w:hAnsiTheme="minorEastAsia"/>
          <w:color w:val="000000"/>
          <w:kern w:val="0"/>
          <w:sz w:val="32"/>
          <w:szCs w:val="32"/>
        </w:rPr>
        <w:t>指在基本支出之外为完成特定行政任务或事业发展目标所发生的支出。</w:t>
      </w: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jc w:val="center"/>
        <w:rPr>
          <w:rFonts w:hint="eastAsia"/>
          <w:sz w:val="72"/>
          <w:szCs w:val="72"/>
        </w:rPr>
      </w:pPr>
      <w:r>
        <w:rPr>
          <w:rFonts w:hint="eastAsia"/>
          <w:sz w:val="72"/>
          <w:szCs w:val="72"/>
        </w:rPr>
        <w:t>第五部分</w:t>
      </w:r>
    </w:p>
    <w:p>
      <w:pPr>
        <w:jc w:val="center"/>
        <w:rPr>
          <w:rFonts w:hint="eastAsia"/>
          <w:sz w:val="72"/>
          <w:szCs w:val="72"/>
        </w:rPr>
      </w:pPr>
    </w:p>
    <w:p>
      <w:pPr>
        <w:jc w:val="center"/>
        <w:rPr>
          <w:rFonts w:hint="eastAsia"/>
          <w:sz w:val="72"/>
          <w:szCs w:val="72"/>
        </w:rPr>
      </w:pPr>
      <w:r>
        <w:rPr>
          <w:rFonts w:hint="eastAsia"/>
          <w:sz w:val="72"/>
          <w:szCs w:val="72"/>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无</w:t>
      </w:r>
    </w:p>
    <w:p/>
    <w:sectPr>
      <w:pgSz w:w="11906" w:h="16838"/>
      <w:pgMar w:top="1440" w:right="1803" w:bottom="1440" w:left="1803"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A37D7"/>
    <w:multiLevelType w:val="singleLevel"/>
    <w:tmpl w:val="988A37D7"/>
    <w:lvl w:ilvl="0" w:tentative="0">
      <w:start w:val="9"/>
      <w:numFmt w:val="chineseCounting"/>
      <w:suff w:val="nothing"/>
      <w:lvlText w:val="%1、"/>
      <w:lvlJc w:val="left"/>
      <w:rPr>
        <w:rFonts w:hint="eastAsia"/>
      </w:rPr>
    </w:lvl>
  </w:abstractNum>
  <w:abstractNum w:abstractNumId="1">
    <w:nsid w:val="E66C84B0"/>
    <w:multiLevelType w:val="singleLevel"/>
    <w:tmpl w:val="E66C84B0"/>
    <w:lvl w:ilvl="0" w:tentative="0">
      <w:start w:val="2"/>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F545B"/>
    <w:rsid w:val="07855D4D"/>
    <w:rsid w:val="0EC1793E"/>
    <w:rsid w:val="17997B20"/>
    <w:rsid w:val="37DF545B"/>
    <w:rsid w:val="3B5975CD"/>
    <w:rsid w:val="448B14C6"/>
    <w:rsid w:val="53E044AB"/>
    <w:rsid w:val="662F55BD"/>
    <w:rsid w:val="7CD51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2020-08-25T09:01:00Z</dcterms:created>
  <dc:creator>依依</dc:creator>
  <cp:lastModifiedBy>meiling</cp:lastModifiedBy>
  <dcterms:modified xsi:type="dcterms:W3CDTF">2020-09-01T01:18:08Z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